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5A1FC1" w14:paraId="1839C2EC" w14:textId="77777777" w:rsidTr="005A1FC1">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D8CF" w14:textId="77777777" w:rsidR="005A1FC1" w:rsidRDefault="005A1FC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GIÁO DỤC VÀ ĐÀO TẠO</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6F05" w14:textId="77777777" w:rsidR="005A1FC1" w:rsidRDefault="005A1FC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FC1" w14:paraId="55121250" w14:textId="77777777" w:rsidTr="005A1FC1">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7A2BD" w14:textId="77777777" w:rsidR="005A1FC1" w:rsidRDefault="005A1FC1">
            <w:pPr>
              <w:pStyle w:val="NormalWeb"/>
              <w:spacing w:after="90" w:afterAutospacing="0" w:line="345" w:lineRule="atLeast"/>
              <w:jc w:val="center"/>
              <w:rPr>
                <w:rFonts w:ascii="Arial" w:hAnsi="Arial" w:cs="Arial"/>
                <w:sz w:val="21"/>
                <w:szCs w:val="21"/>
              </w:rPr>
            </w:pPr>
            <w:r>
              <w:rPr>
                <w:rFonts w:ascii="Arial" w:hAnsi="Arial" w:cs="Arial"/>
                <w:sz w:val="21"/>
                <w:szCs w:val="21"/>
              </w:rPr>
              <w:t>Số: 34/2021/TT-BGDĐT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16B0" w14:textId="77777777" w:rsidR="005A1FC1" w:rsidRDefault="005A1FC1">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30 tháng 11 năm 2021</w:t>
            </w:r>
          </w:p>
        </w:tc>
      </w:tr>
    </w:tbl>
    <w:p w14:paraId="31555FA1" w14:textId="77777777" w:rsidR="005A1FC1" w:rsidRDefault="005A1FC1" w:rsidP="005A1FC1">
      <w:pPr>
        <w:pStyle w:val="NormalWeb"/>
        <w:spacing w:after="90" w:afterAutospacing="0" w:line="345" w:lineRule="atLeast"/>
        <w:jc w:val="both"/>
        <w:rPr>
          <w:rFonts w:ascii="Arial" w:eastAsia="Calibri" w:hAnsi="Arial" w:cs="Arial"/>
        </w:rPr>
      </w:pPr>
    </w:p>
    <w:p w14:paraId="334271CA" w14:textId="77777777" w:rsidR="005A1FC1" w:rsidRDefault="005A1FC1" w:rsidP="005A1FC1">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1714251B" w14:textId="77777777" w:rsidR="005A1FC1" w:rsidRDefault="005A1FC1" w:rsidP="005A1FC1">
      <w:pPr>
        <w:pStyle w:val="NormalWeb"/>
        <w:spacing w:after="90" w:afterAutospacing="0" w:line="345" w:lineRule="atLeast"/>
        <w:jc w:val="center"/>
        <w:rPr>
          <w:rFonts w:ascii="Arial" w:hAnsi="Arial" w:cs="Arial"/>
        </w:rPr>
      </w:pPr>
      <w:r>
        <w:rPr>
          <w:rStyle w:val="Strong"/>
          <w:rFonts w:ascii="Arial" w:hAnsi="Arial" w:cs="Arial"/>
          <w:sz w:val="21"/>
          <w:szCs w:val="21"/>
        </w:rPr>
        <w:t>QUY ĐỊNH TIÊU CHUẨN, ĐIỀU KIỆN THI HOẶC XÉT THĂNG HẠNG; NỘI DUNG, HÌNH THỨC VÀ VIỆC XÁC ĐỊNH NGƯỜI TRÚNG TUYỂN TRONG KỲ XÉT THĂNG HẠNG CHỨC DANH NGHỀ NGHIỆP GIÁO VIÊN MẦM NON, PHỔ THÔNG CÔNG LẬP</w:t>
      </w:r>
    </w:p>
    <w:p w14:paraId="7AE044A9"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Viên chức ngày 15 tháng 11 năm 2010</w:t>
        </w:r>
      </w:hyperlink>
      <w:r>
        <w:rPr>
          <w:rStyle w:val="Emphasis"/>
          <w:rFonts w:ascii="Arial" w:hAnsi="Arial" w:cs="Arial"/>
          <w:sz w:val="21"/>
          <w:szCs w:val="21"/>
        </w:rPr>
        <w:t>; Luật sửa đổi, bổ sung một số điều của Luật Cán bộ, công chức và Luật Viên chức ngày 25 tháng 11 năm 2019;</w:t>
      </w:r>
    </w:p>
    <w:p w14:paraId="08B70F05"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Giáo dục ngày 14 tháng 6 năm 2019</w:t>
        </w:r>
      </w:hyperlink>
      <w:r>
        <w:rPr>
          <w:rStyle w:val="Emphasis"/>
          <w:rFonts w:ascii="Arial" w:hAnsi="Arial" w:cs="Arial"/>
          <w:sz w:val="21"/>
          <w:szCs w:val="21"/>
        </w:rPr>
        <w:t>;</w:t>
      </w:r>
    </w:p>
    <w:p w14:paraId="71C7DD99"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Nghị định số 69/2017/NĐ-CP</w:t>
        </w:r>
      </w:hyperlink>
      <w:r>
        <w:rPr>
          <w:rStyle w:val="Emphasis"/>
          <w:rFonts w:ascii="Arial" w:hAnsi="Arial" w:cs="Arial"/>
          <w:sz w:val="21"/>
          <w:szCs w:val="21"/>
        </w:rPr>
        <w:t> ngày 25 tháng 5 năm 2017 của Chính phủ quy định chức năng, nhiệm vụ, quyền hạn và cơ cấu tổ chức của Bộ Giáo dục và Đào tạo;</w:t>
      </w:r>
    </w:p>
    <w:p w14:paraId="1B8D2BEC"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Nghị định số 115/2020/NĐ-CP</w:t>
        </w:r>
      </w:hyperlink>
      <w:r>
        <w:rPr>
          <w:rStyle w:val="Emphasis"/>
          <w:rFonts w:ascii="Arial" w:hAnsi="Arial" w:cs="Arial"/>
          <w:sz w:val="21"/>
          <w:szCs w:val="21"/>
        </w:rPr>
        <w:t> ngày 25 tháng 9 năm 2020 của Chính phủ quy định về tuyển dụng, sử dụng và quản lý viên chức;</w:t>
      </w:r>
    </w:p>
    <w:p w14:paraId="11DAC199"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Cục trưởng Cục Nhà giáo và Cán bộ quản lý giáo dục;</w:t>
      </w:r>
    </w:p>
    <w:p w14:paraId="1041BB4A"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Giáo dục và Đào tạo ban hành Thông tư quy định tiêu chuẩn, điều kiện thi hoặc xét thăng hạng; nội dung, hình thức và việc xác định người trúng tuyển trong kỳ xét thăng hạng chức danh nghề nghiệp giáo viên mầm non, phổ thông công lập.</w:t>
      </w:r>
    </w:p>
    <w:p w14:paraId="44BABBE8" w14:textId="77777777" w:rsidR="005A1FC1" w:rsidRDefault="005A1FC1" w:rsidP="005A1FC1">
      <w:pPr>
        <w:pStyle w:val="NormalWeb"/>
        <w:spacing w:after="90" w:afterAutospacing="0" w:line="345" w:lineRule="atLeast"/>
        <w:jc w:val="both"/>
        <w:rPr>
          <w:rFonts w:ascii="Arial" w:hAnsi="Arial" w:cs="Arial"/>
        </w:rPr>
      </w:pPr>
    </w:p>
    <w:p w14:paraId="4AC78BB2" w14:textId="77777777" w:rsidR="005A1FC1" w:rsidRDefault="005A1FC1" w:rsidP="005A1FC1">
      <w:pPr>
        <w:pStyle w:val="Heading2"/>
        <w:spacing w:before="75" w:after="75" w:line="375" w:lineRule="atLeast"/>
        <w:rPr>
          <w:rFonts w:eastAsia="Times New Roman" w:cs="Arial"/>
          <w:color w:val="A76014"/>
          <w:sz w:val="27"/>
          <w:szCs w:val="27"/>
        </w:rPr>
      </w:pPr>
      <w:r>
        <w:rPr>
          <w:rStyle w:val="Strong"/>
          <w:rFonts w:eastAsia="Times New Roman" w:cs="Arial"/>
          <w:b/>
          <w:bCs w:val="0"/>
          <w:color w:val="A76014"/>
          <w:sz w:val="21"/>
          <w:szCs w:val="21"/>
        </w:rPr>
        <w:t>Chương I: QUY ĐỊNH CHUNG</w:t>
      </w:r>
    </w:p>
    <w:p w14:paraId="64471264" w14:textId="77777777" w:rsidR="005A1FC1" w:rsidRDefault="005A1FC1" w:rsidP="005A1FC1">
      <w:pPr>
        <w:pStyle w:val="Heading3"/>
        <w:spacing w:before="75" w:after="75" w:line="375" w:lineRule="atLeast"/>
        <w:rPr>
          <w:rFonts w:eastAsia="Times New Roman" w:cs="Arial"/>
          <w:color w:val="A76014"/>
          <w:sz w:val="27"/>
          <w:szCs w:val="27"/>
        </w:rPr>
      </w:pPr>
      <w:r>
        <w:rPr>
          <w:rStyle w:val="Strong"/>
          <w:rFonts w:eastAsia="Times New Roman" w:cs="Arial"/>
          <w:b/>
          <w:bCs w:val="0"/>
          <w:color w:val="A76014"/>
          <w:sz w:val="21"/>
          <w:szCs w:val="21"/>
        </w:rPr>
        <w:t>Điều 1. Phạm vi điều chỉnh và đối tượng áp dụng</w:t>
      </w:r>
    </w:p>
    <w:p w14:paraId="1599614B" w14:textId="77777777" w:rsidR="005A1FC1" w:rsidRDefault="005A1FC1" w:rsidP="005A1FC1">
      <w:pPr>
        <w:pStyle w:val="NormalWeb"/>
        <w:spacing w:after="90" w:afterAutospacing="0" w:line="345" w:lineRule="atLeast"/>
        <w:jc w:val="both"/>
        <w:rPr>
          <w:rFonts w:ascii="Arial" w:eastAsia="Calibri" w:hAnsi="Arial" w:cs="Arial"/>
        </w:rPr>
      </w:pPr>
      <w:r>
        <w:rPr>
          <w:rFonts w:ascii="Arial" w:hAnsi="Arial" w:cs="Arial"/>
        </w:rPr>
        <w:t>1. Thông tư này quy định tiêu chuẩn, điều kiện thi hoặc xét thăng hạng; nội dung, hình thức và việc xác định người trúng tuyển trong kỳ xét thăng hạng chức danh nghề nghiệp giáo viên mầm non, phổ thông công lập.</w:t>
      </w:r>
    </w:p>
    <w:p w14:paraId="3836415B"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2. Thông tư này áp dụng đối với viên chức làm quản lý, giảng dạy chương trình giáo dục mầm non, phổ thông (sau đây gọi chung là giáo viên) trong các cơ sở giáo dục mầm non, cơ sở giáo dục phổ thông, trung tâm giáo dục thường xuyên, trung tâm giáo dục nghề nghiệp - giáo dục thường xuyên, trường chuyên biệt công lập (sau đây gọi chung là cơ sở giáo dục) đã được bổ nhiệm vào hạng chức danh nghề nghiệp giáo viên, đăng ký dự thi hoặc xét thăng hạng chức danh nghề nghiệp giáo viên và các tổ chức, cá nhân khác có liên quan.</w:t>
      </w:r>
    </w:p>
    <w:p w14:paraId="14760200"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3. Giáo viên dự bị đại học được áp dụng Thông tư này để tham dự xét thăng hạng chức danh nghề nghiệp sau khi được bổ nhiệm vào hạng chức danh nghề nghiệp giáo viên dự bị đại học cho đến khi có quy định riêng của cơ quan có thẩm quyền quản lý.</w:t>
      </w:r>
    </w:p>
    <w:p w14:paraId="0E37677C" w14:textId="77777777" w:rsidR="005A1FC1" w:rsidRDefault="005A1FC1" w:rsidP="005A1FC1">
      <w:pPr>
        <w:pStyle w:val="NormalWeb"/>
        <w:spacing w:after="90" w:afterAutospacing="0" w:line="345" w:lineRule="atLeast"/>
        <w:jc w:val="both"/>
        <w:rPr>
          <w:rFonts w:ascii="Arial" w:hAnsi="Arial" w:cs="Arial"/>
        </w:rPr>
      </w:pPr>
    </w:p>
    <w:p w14:paraId="7E89BD56" w14:textId="77777777" w:rsidR="005A1FC1" w:rsidRDefault="005A1FC1" w:rsidP="005A1FC1">
      <w:pPr>
        <w:pStyle w:val="Heading3"/>
        <w:spacing w:before="75" w:after="75" w:line="375" w:lineRule="atLeast"/>
        <w:rPr>
          <w:rFonts w:eastAsia="Times New Roman" w:cs="Arial"/>
          <w:color w:val="A76014"/>
        </w:rPr>
      </w:pPr>
      <w:r>
        <w:rPr>
          <w:rStyle w:val="Strong"/>
          <w:rFonts w:eastAsia="Times New Roman" w:cs="Arial"/>
          <w:b/>
          <w:bCs w:val="0"/>
          <w:color w:val="A76014"/>
          <w:sz w:val="21"/>
          <w:szCs w:val="21"/>
        </w:rPr>
        <w:t>Điều 2. Nguyên tắc tổ chức thi hoặc xét thăng hạng chức danh nghề nghiệp giáo viên</w:t>
      </w:r>
    </w:p>
    <w:p w14:paraId="05317C6A" w14:textId="77777777" w:rsidR="005A1FC1" w:rsidRDefault="005A1FC1" w:rsidP="005A1FC1">
      <w:pPr>
        <w:pStyle w:val="NormalWeb"/>
        <w:spacing w:after="90" w:afterAutospacing="0" w:line="345" w:lineRule="atLeast"/>
        <w:jc w:val="both"/>
        <w:rPr>
          <w:rFonts w:ascii="Arial" w:eastAsia="Calibri" w:hAnsi="Arial" w:cs="Arial"/>
        </w:rPr>
      </w:pPr>
      <w:r>
        <w:rPr>
          <w:rFonts w:ascii="Arial" w:hAnsi="Arial" w:cs="Arial"/>
        </w:rPr>
        <w:t>1. Nguyên tắc tổ chức thi hoặc xét thăng hạng chức danh nghề nghiệp giáo viên được thực hiện theo quy định tại Điều 31 Nghị định số 115/2020/NĐ-CP ngày 25 tháng 9 năm 2020 của Chính phủ quy định về tuyển dụng, sử dụng và quản lý viên chức.</w:t>
      </w:r>
    </w:p>
    <w:p w14:paraId="567E9ED6"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2. Đối với xét thăng hạng chức danh nghề nghiệp, giáo viên đăng ký dự xét thăng hạng phải có đủ hồ sơ và minh chứng theo quy định. Đối với các tiêu chuẩn, tiêu chí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tiêu chí đó, có xác nhận của người đứng đầu cơ sở giáo dục trực tiếp quản lý, sử dụng giáo viên và theo phân cấp quản lý của địa phương. Đối với tiêu chuẩn về trình độ đào tạo, bồi dưỡng, minh chứng là bản sao có công chứng các văn bằng, chứng chỉ theo quy định.</w:t>
      </w:r>
    </w:p>
    <w:p w14:paraId="52A057A6" w14:textId="77777777" w:rsidR="005A1FC1" w:rsidRDefault="005A1FC1" w:rsidP="005A1FC1">
      <w:pPr>
        <w:pStyle w:val="NormalWeb"/>
        <w:spacing w:after="90" w:afterAutospacing="0" w:line="345" w:lineRule="atLeast"/>
        <w:jc w:val="both"/>
        <w:rPr>
          <w:rFonts w:ascii="Arial" w:hAnsi="Arial" w:cs="Arial"/>
        </w:rPr>
      </w:pPr>
    </w:p>
    <w:p w14:paraId="6C4F6853" w14:textId="77777777" w:rsidR="005A1FC1" w:rsidRDefault="005A1FC1" w:rsidP="005A1FC1">
      <w:pPr>
        <w:pStyle w:val="Heading2"/>
        <w:spacing w:before="75" w:after="75" w:line="375" w:lineRule="atLeast"/>
        <w:rPr>
          <w:rFonts w:eastAsia="Times New Roman" w:cs="Arial"/>
          <w:color w:val="A76014"/>
          <w:sz w:val="27"/>
          <w:szCs w:val="27"/>
        </w:rPr>
      </w:pPr>
      <w:r>
        <w:rPr>
          <w:rStyle w:val="Strong"/>
          <w:rFonts w:eastAsia="Times New Roman" w:cs="Arial"/>
          <w:b/>
          <w:bCs w:val="0"/>
          <w:color w:val="A76014"/>
          <w:sz w:val="21"/>
          <w:szCs w:val="21"/>
        </w:rPr>
        <w:t>Chương II: TIÊU CHUẨN, ĐIỀU KIỆN THI HOẶC XÉT THĂNG HẠNG CHỨC DANH NGHỀ NGHIỆP</w:t>
      </w:r>
    </w:p>
    <w:p w14:paraId="3D621D02" w14:textId="77777777" w:rsidR="005A1FC1" w:rsidRDefault="005A1FC1" w:rsidP="005A1FC1">
      <w:pPr>
        <w:pStyle w:val="NormalWeb"/>
        <w:spacing w:after="90" w:afterAutospacing="0" w:line="345" w:lineRule="atLeast"/>
        <w:jc w:val="both"/>
        <w:rPr>
          <w:rFonts w:ascii="Arial" w:eastAsia="Calibri" w:hAnsi="Arial" w:cs="Arial"/>
        </w:rPr>
      </w:pPr>
    </w:p>
    <w:p w14:paraId="77FF9C15" w14:textId="77777777" w:rsidR="005A1FC1" w:rsidRDefault="005A1FC1" w:rsidP="005A1FC1">
      <w:pPr>
        <w:pStyle w:val="Heading3"/>
        <w:spacing w:before="75" w:after="75" w:line="375" w:lineRule="atLeast"/>
        <w:rPr>
          <w:rFonts w:eastAsia="Times New Roman" w:cs="Arial"/>
          <w:color w:val="A76014"/>
        </w:rPr>
      </w:pPr>
      <w:r>
        <w:rPr>
          <w:rStyle w:val="Strong"/>
          <w:rFonts w:eastAsia="Times New Roman" w:cs="Arial"/>
          <w:b/>
          <w:bCs w:val="0"/>
          <w:color w:val="A76014"/>
          <w:sz w:val="21"/>
          <w:szCs w:val="21"/>
        </w:rPr>
        <w:lastRenderedPageBreak/>
        <w:t>Điều 3. Tiêu chuẩn, điều kiện thi hoặc xét thăng hạng chức danh nghề nghiệp</w:t>
      </w:r>
    </w:p>
    <w:p w14:paraId="2413C0F9" w14:textId="77777777" w:rsidR="005A1FC1" w:rsidRDefault="005A1FC1" w:rsidP="005A1FC1">
      <w:pPr>
        <w:pStyle w:val="NormalWeb"/>
        <w:spacing w:after="90" w:afterAutospacing="0" w:line="345" w:lineRule="atLeast"/>
        <w:jc w:val="both"/>
        <w:rPr>
          <w:rFonts w:ascii="Arial" w:eastAsia="Calibri" w:hAnsi="Arial" w:cs="Arial"/>
        </w:rPr>
      </w:pPr>
      <w:r>
        <w:rPr>
          <w:rFonts w:ascii="Arial" w:hAnsi="Arial" w:cs="Arial"/>
        </w:rPr>
        <w:t>Giáo viên được đăng ký dự thi hoặc xét thăng hạng lên chức danh nghề nghiệp cao hơn liền kề khi có đủ các tiêu chuẩn, điều kiện sau:</w:t>
      </w:r>
    </w:p>
    <w:p w14:paraId="24DEE74D"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1. Cơ sở giáo dục có nhu cầu và được người đứng đầu cơ quan có thẩm quyền quản lý cử đi dự thi hoặc xét thăng hạng chức danh nghề nghiệp.</w:t>
      </w:r>
    </w:p>
    <w:p w14:paraId="165C3C75"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2. Được xếp loại chất lượng ở mức hoàn thành tốt nhiệm vụ trở lên trong năm công tác liền kề trước năm dự thi hoặc xét thăng hạng chức danh nghề nghiệp;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14:paraId="6B8812EB"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3. Đã được bổ nhiệm chức danh nghề nghiệp giáo viên mầm non, tiểu học, trung học cơ sở, trung học phổ thông phù hợp với vị trí việc làm đang đảm nhận.</w:t>
      </w:r>
    </w:p>
    <w:p w14:paraId="5E4AA6F9"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4. Đáp ứng tiêu chuẩn về trình độ đào tạo, bồi dưỡng và tiêu chuẩn về năng lực chuyên môn, nghiệp vụ của hạng đăng ký dự thi hoặc xét thăng hạng theo quy định hiện hành về tiêu chuẩn chức danh nghề nghiệp giáo viên do Bộ Giáo dục và Đào tạo ban hành. Trường hợp giáo viên đủ điều kiện miễn thi môn ngoại ngữ, tin học theo quy định tại khoản 6 và khoản 7 Điều 39 Nghị định số 115/2020/NĐ-CP ngày 25 tháng 9 năm 2020 của Chính phủ quy định về tuyển dụng, sử dụng và quản lý viên chức thì được xác định là đáp ứng tiêu chuẩn về ngoại ngữ, tin học của hạng chức danh nghề nghiệp đăng ký dự thi hoặc xét thăng hạng.</w:t>
      </w:r>
    </w:p>
    <w:p w14:paraId="70F483FB"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Giáo viên dự bị đại học khi áp dụng Thông tư này để dự xét thăng hạng phải đáp ứng tiêu chuẩn về trình độ đào tạo, bồi dưỡng và tiêu chuẩn về năng lực chuyên môn, nghiệp vụ ở hạng đăng ký dự xét theo quy định về tiêu chuẩn chức danh nghề nghiệp giáo viên dự bị đại học do cơ quan có thẩm quyền ban hành.</w:t>
      </w:r>
    </w:p>
    <w:p w14:paraId="6F78391B" w14:textId="77777777" w:rsidR="005A1FC1" w:rsidRDefault="005A1FC1" w:rsidP="005A1FC1">
      <w:pPr>
        <w:pStyle w:val="NormalWeb"/>
        <w:spacing w:after="90" w:afterAutospacing="0" w:line="345" w:lineRule="atLeast"/>
        <w:jc w:val="both"/>
        <w:rPr>
          <w:rFonts w:ascii="Arial" w:hAnsi="Arial" w:cs="Arial"/>
        </w:rPr>
      </w:pPr>
    </w:p>
    <w:p w14:paraId="7233A3A3" w14:textId="77777777" w:rsidR="005A1FC1" w:rsidRDefault="005A1FC1" w:rsidP="005A1FC1">
      <w:pPr>
        <w:pStyle w:val="Heading3"/>
        <w:spacing w:before="75" w:after="75" w:line="375" w:lineRule="atLeast"/>
        <w:rPr>
          <w:rFonts w:eastAsia="Times New Roman" w:cs="Arial"/>
          <w:color w:val="A76014"/>
        </w:rPr>
      </w:pPr>
      <w:r>
        <w:rPr>
          <w:rStyle w:val="Strong"/>
          <w:rFonts w:eastAsia="Times New Roman" w:cs="Arial"/>
          <w:b/>
          <w:bCs w:val="0"/>
          <w:color w:val="A76014"/>
          <w:sz w:val="21"/>
          <w:szCs w:val="21"/>
        </w:rPr>
        <w:t>Điều 4. Hồ sơ đăng ký dự thi hoặc xét thăng hạng chức danh nghề nghiệp</w:t>
      </w:r>
    </w:p>
    <w:p w14:paraId="42199488" w14:textId="77777777" w:rsidR="005A1FC1" w:rsidRDefault="005A1FC1" w:rsidP="005A1FC1">
      <w:pPr>
        <w:pStyle w:val="NormalWeb"/>
        <w:spacing w:after="90" w:afterAutospacing="0" w:line="345" w:lineRule="atLeast"/>
        <w:jc w:val="both"/>
        <w:rPr>
          <w:rFonts w:ascii="Arial" w:eastAsia="Calibri" w:hAnsi="Arial" w:cs="Arial"/>
        </w:rPr>
      </w:pPr>
      <w:r>
        <w:rPr>
          <w:rFonts w:ascii="Arial" w:hAnsi="Arial" w:cs="Arial"/>
        </w:rPr>
        <w:t>1. Hồ sơ đăng ký dự thi hoặc xét thăng hạng chức danh nghề nghiệp được thực hiện theo quy định tại Điều 36 Nghị định số 115/2020/NĐ-CP ngày 25 tháng 9 năm 2020 của Chính phủ quy định về tuyển dụng, sử dụng và quản lý viên chức.</w:t>
      </w:r>
    </w:p>
    <w:p w14:paraId="6A640A08"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2. Trường hợp đăng ký dự xét thăng hạng chức danh nghề nghiệp, ngoài các hồ sơ quy định tại khoản 1 Điều này thì cần nộp các minh chứng đạt tiêu chuẩn của hạng chức danh nghề nghiệp đăng ký dự xét theo hướng dẫn tại phụ lục kèm theo Thông tư này.</w:t>
      </w:r>
    </w:p>
    <w:p w14:paraId="1AE1D2F0" w14:textId="77777777" w:rsidR="005A1FC1" w:rsidRDefault="005A1FC1" w:rsidP="005A1FC1">
      <w:pPr>
        <w:pStyle w:val="NormalWeb"/>
        <w:spacing w:after="90" w:afterAutospacing="0" w:line="345" w:lineRule="atLeast"/>
        <w:jc w:val="both"/>
        <w:rPr>
          <w:rFonts w:ascii="Arial" w:hAnsi="Arial" w:cs="Arial"/>
        </w:rPr>
      </w:pPr>
    </w:p>
    <w:p w14:paraId="64660898" w14:textId="77777777" w:rsidR="005A1FC1" w:rsidRDefault="005A1FC1" w:rsidP="005A1FC1">
      <w:pPr>
        <w:pStyle w:val="Heading2"/>
        <w:spacing w:before="75" w:after="75" w:line="375" w:lineRule="atLeast"/>
        <w:rPr>
          <w:rFonts w:eastAsia="Times New Roman" w:cs="Arial"/>
          <w:color w:val="A76014"/>
          <w:sz w:val="27"/>
          <w:szCs w:val="27"/>
        </w:rPr>
      </w:pPr>
      <w:r>
        <w:rPr>
          <w:rStyle w:val="Strong"/>
          <w:rFonts w:eastAsia="Times New Roman" w:cs="Arial"/>
          <w:b/>
          <w:bCs w:val="0"/>
          <w:color w:val="A76014"/>
          <w:sz w:val="21"/>
          <w:szCs w:val="21"/>
        </w:rPr>
        <w:t>Chương III: NỘI DUNG, HÌNH THỨC VÀ VIỆC XÁC ĐỊNH NGƯỜI TRÚNG TUYỂN TRONG KỲ XÉT THĂNG HẠNG CHỨC DANH NGHỀ NGHIỆP</w:t>
      </w:r>
    </w:p>
    <w:p w14:paraId="39648D08" w14:textId="77777777" w:rsidR="005A1FC1" w:rsidRDefault="005A1FC1" w:rsidP="005A1FC1">
      <w:pPr>
        <w:pStyle w:val="NormalWeb"/>
        <w:spacing w:after="90" w:afterAutospacing="0" w:line="345" w:lineRule="atLeast"/>
        <w:jc w:val="both"/>
        <w:rPr>
          <w:rFonts w:ascii="Arial" w:eastAsia="Calibri" w:hAnsi="Arial" w:cs="Arial"/>
        </w:rPr>
      </w:pPr>
    </w:p>
    <w:p w14:paraId="61832F44" w14:textId="77777777" w:rsidR="005A1FC1" w:rsidRDefault="005A1FC1" w:rsidP="005A1FC1">
      <w:pPr>
        <w:pStyle w:val="Heading3"/>
        <w:spacing w:before="75" w:after="75" w:line="375" w:lineRule="atLeast"/>
        <w:rPr>
          <w:rFonts w:eastAsia="Times New Roman" w:cs="Arial"/>
          <w:color w:val="A76014"/>
        </w:rPr>
      </w:pPr>
      <w:r>
        <w:rPr>
          <w:rStyle w:val="Strong"/>
          <w:rFonts w:eastAsia="Times New Roman" w:cs="Arial"/>
          <w:b/>
          <w:bCs w:val="0"/>
          <w:color w:val="A76014"/>
          <w:sz w:val="21"/>
          <w:szCs w:val="21"/>
        </w:rPr>
        <w:t>Điều 5. Nội dung, hình thức xét thăng hạng chức danh nghề nghiệp</w:t>
      </w:r>
    </w:p>
    <w:p w14:paraId="00B928DC" w14:textId="77777777" w:rsidR="005A1FC1" w:rsidRDefault="005A1FC1" w:rsidP="005A1FC1">
      <w:pPr>
        <w:pStyle w:val="NormalWeb"/>
        <w:spacing w:after="90" w:afterAutospacing="0" w:line="345" w:lineRule="atLeast"/>
        <w:jc w:val="both"/>
        <w:rPr>
          <w:rFonts w:ascii="Arial" w:eastAsia="Calibri" w:hAnsi="Arial" w:cs="Arial"/>
        </w:rPr>
      </w:pPr>
      <w:r>
        <w:rPr>
          <w:rFonts w:ascii="Arial" w:hAnsi="Arial" w:cs="Arial"/>
        </w:rPr>
        <w:t>1. Xét thăng hạng chức danh nghề nghiệp từ giáo viên hạng II lên giáo viên hạng I:</w:t>
      </w:r>
    </w:p>
    <w:p w14:paraId="5A613BA3"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Xét thăng hạng chức danh nghề nghiệp từ giáo viên hạng II lên giáo viên hạng I được thực hiện thông qua việc xét, chấm điểm hồ sơ đăng ký dự xét thăng hạng và kiểm tra, sát hạch theo quy định tiêu chuẩn chức danh nghề nghiệp giáo viên hạng I của mỗi cấp học;</w:t>
      </w:r>
    </w:p>
    <w:p w14:paraId="5F39D380"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b) Giáo viên hạng II dự xét thăng hạng lên giáo viên hạng I được tham dự kiểm tra, sát hạch khi điểm hồ sơ đạt 100 điểm theo thang điểm quy định tại Điều 6 Thông tư này;</w:t>
      </w:r>
    </w:p>
    <w:p w14:paraId="4873C166"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c) Việc kiểm tra, sát hạch được thực hiện bằng hình thức làm bài trắc nghiệm hoặc phỏng vấn:</w:t>
      </w:r>
    </w:p>
    <w:p w14:paraId="1BCF2F1D"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Đối với hình thức làm bài trắc nghiệm: Thời gian thực hiện bài thi trắc nghiệm là 60 phút, nội dung gồm các câu hỏi liên quan đến chủ trương, đường lối của Đảng, chính sách pháp luật của Nhà nước về giáo dục và nhiệm vụ của nhà giáo quy định tại tiêu chuẩn hạng chức danh nghề nghiệp (theo từng hạng chức danh nghề nghiệp của mỗi cấp học), tối đa không quá 60 câu hỏi. Bài trắc nghiệm được chấm theo thang điểm 30 và được thực hiện trên giấy hoặc trên máy tính.</w:t>
      </w:r>
    </w:p>
    <w:p w14:paraId="764F22D4"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Đối với hình thức phỏng vấn: Thời gian thực hiện bài phỏng vấn không quá 15 phút/01 người dự xét, nội dung phỏng vấn liên quan đến chủ trương, đường lối của Đảng, chính sách pháp luật của Nhà nước về giáo dục và nhiệm vụ của nhà giáo quy định tại tiêu chuẩn hạng chức danh nghề nghiệp (theo từng hạng chức danh nghề nghiệp của mỗi cấp học). Bài phỏng vấn được chấm theo thang điểm 30 và được thực hiện trực tiếp đối với từng người.</w:t>
      </w:r>
    </w:p>
    <w:p w14:paraId="54F8212A"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2. Xét thăng hạng chức danh nghề nghiệp từ giáo viên hạng III lên giáo viên hạng II: Được thực hiện thông qua việc xét và chấm điểm hồ sơ đăng ký dự xét thăng hạng theo quy định tiêu chuẩn chức danh nghề nghiệp giáo viên hạng II của mỗi cấp học.</w:t>
      </w:r>
    </w:p>
    <w:p w14:paraId="4E1D35BA" w14:textId="77777777" w:rsidR="005A1FC1" w:rsidRDefault="005A1FC1" w:rsidP="005A1FC1">
      <w:pPr>
        <w:pStyle w:val="NormalWeb"/>
        <w:spacing w:after="90" w:afterAutospacing="0" w:line="345" w:lineRule="atLeast"/>
        <w:jc w:val="both"/>
        <w:rPr>
          <w:rFonts w:ascii="Arial" w:hAnsi="Arial" w:cs="Arial"/>
        </w:rPr>
      </w:pPr>
    </w:p>
    <w:p w14:paraId="51A308DF" w14:textId="77777777" w:rsidR="005A1FC1" w:rsidRDefault="005A1FC1" w:rsidP="005A1FC1">
      <w:pPr>
        <w:pStyle w:val="Heading3"/>
        <w:spacing w:before="75" w:after="75" w:line="375" w:lineRule="atLeast"/>
        <w:rPr>
          <w:rFonts w:eastAsia="Times New Roman" w:cs="Arial"/>
          <w:color w:val="A76014"/>
        </w:rPr>
      </w:pPr>
      <w:r>
        <w:rPr>
          <w:rStyle w:val="Strong"/>
          <w:rFonts w:eastAsia="Times New Roman" w:cs="Arial"/>
          <w:b/>
          <w:bCs w:val="0"/>
          <w:color w:val="A76014"/>
          <w:sz w:val="21"/>
          <w:szCs w:val="21"/>
        </w:rPr>
        <w:t>Điều 6. Cách tính điểm hồ sơ xét thăng hạng chức danh nghề nghiệp</w:t>
      </w:r>
    </w:p>
    <w:p w14:paraId="769826DA" w14:textId="77777777" w:rsidR="005A1FC1" w:rsidRDefault="005A1FC1" w:rsidP="005A1FC1">
      <w:pPr>
        <w:pStyle w:val="NormalWeb"/>
        <w:spacing w:after="90" w:afterAutospacing="0" w:line="345" w:lineRule="atLeast"/>
        <w:jc w:val="both"/>
        <w:rPr>
          <w:rFonts w:ascii="Arial" w:eastAsia="Calibri" w:hAnsi="Arial" w:cs="Arial"/>
        </w:rPr>
      </w:pPr>
      <w:r>
        <w:rPr>
          <w:rFonts w:ascii="Arial" w:hAnsi="Arial" w:cs="Arial"/>
        </w:rPr>
        <w:t>1. Hồ sơ xét thăng hạng được chấm theo thang điểm 100, không làm tròn số khi cộng các điểm thành phần, cụ thể:</w:t>
      </w:r>
    </w:p>
    <w:p w14:paraId="46178337"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Điểm chấm nhóm tiêu chí về tiêu chuẩn trình độ đào tạo, bồi dưỡng: 20 điểm</w:t>
      </w:r>
    </w:p>
    <w:p w14:paraId="0F119EF0"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b) Điểm chấm nhóm tiêu chí về tiêu chuẩn năng lực chuyên môn, nghiệp vụ: 80 điểm.</w:t>
      </w:r>
    </w:p>
    <w:p w14:paraId="320B1B61"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2. Hướng dẫn minh chứng và chấm điểm các nhóm tiêu chí được quy định tại phụ lục kèm theo Thông tư này.</w:t>
      </w:r>
    </w:p>
    <w:p w14:paraId="6F2628EF" w14:textId="77777777" w:rsidR="005A1FC1" w:rsidRDefault="005A1FC1" w:rsidP="005A1FC1">
      <w:pPr>
        <w:pStyle w:val="NormalWeb"/>
        <w:spacing w:after="90" w:afterAutospacing="0" w:line="345" w:lineRule="atLeast"/>
        <w:jc w:val="both"/>
        <w:rPr>
          <w:rFonts w:ascii="Arial" w:hAnsi="Arial" w:cs="Arial"/>
        </w:rPr>
      </w:pPr>
    </w:p>
    <w:p w14:paraId="25FD4AB8" w14:textId="77777777" w:rsidR="005A1FC1" w:rsidRDefault="005A1FC1" w:rsidP="005A1FC1">
      <w:pPr>
        <w:pStyle w:val="Heading3"/>
        <w:spacing w:before="75" w:after="75" w:line="375" w:lineRule="atLeast"/>
        <w:rPr>
          <w:rFonts w:eastAsia="Times New Roman" w:cs="Arial"/>
          <w:color w:val="A76014"/>
        </w:rPr>
      </w:pPr>
      <w:r>
        <w:rPr>
          <w:rStyle w:val="Strong"/>
          <w:rFonts w:eastAsia="Times New Roman" w:cs="Arial"/>
          <w:b/>
          <w:bCs w:val="0"/>
          <w:color w:val="A76014"/>
          <w:sz w:val="21"/>
          <w:szCs w:val="21"/>
        </w:rPr>
        <w:t>Điều 7. Xác định người trúng tuyển trong kỳ xét thăng hạng chức danh nghề nghiệp</w:t>
      </w:r>
    </w:p>
    <w:p w14:paraId="01282BEC" w14:textId="77777777" w:rsidR="005A1FC1" w:rsidRDefault="005A1FC1" w:rsidP="005A1FC1">
      <w:pPr>
        <w:pStyle w:val="NormalWeb"/>
        <w:spacing w:after="90" w:afterAutospacing="0" w:line="345" w:lineRule="atLeast"/>
        <w:jc w:val="both"/>
        <w:rPr>
          <w:rFonts w:ascii="Arial" w:eastAsia="Calibri" w:hAnsi="Arial" w:cs="Arial"/>
        </w:rPr>
      </w:pPr>
      <w:r>
        <w:rPr>
          <w:rFonts w:ascii="Arial" w:hAnsi="Arial" w:cs="Arial"/>
        </w:rPr>
        <w:t>1. Người được xác định trúng tuyển trong kỳ xét thăng hạng chức danh nghề nghiệp phải có đủ các điều kiện sau đây:</w:t>
      </w:r>
    </w:p>
    <w:p w14:paraId="7D299D40"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Có đủ hồ sơ kèm các minh chứng theo quy định;</w:t>
      </w:r>
    </w:p>
    <w:p w14:paraId="40829A03"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b) Đối với trường hợp dự xét thăng hạng từ hạng II lên hạng I: Điểm chấm hồ sơ theo quy định tại khoản 1 Điều 6 Thông tư này phải đạt 100 điểm và điểm kiểm tra, sát hạch phải đạt từ 15 điểm trở lên.</w:t>
      </w:r>
    </w:p>
    <w:p w14:paraId="6D5B2A8C"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Đối với trường hợp dự xét thăng hạng từ hạng III lên hạng II: Điểm chấm hồ sơ theo quy định tại khoản 1 Điều 6 Thông tư này phải đạt 100 điểm.</w:t>
      </w:r>
    </w:p>
    <w:p w14:paraId="5D7C254F"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2. Trường hợp số lượng hồ sơ xét thăng hạng đáp ứng yêu cầu tại khoản 1 Điều này nhiều hơn số chỉ tiêu thăng hạng được cấp có thẩm quyền giao thì thực hiện như sau:</w:t>
      </w:r>
    </w:p>
    <w:p w14:paraId="7EB029A1"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Đối với trường hợp dự xét thăng hạng từ hạng II lên hạng I: Lấy điểm kiểm tra, sát hạch theo thứ tự từ cao xuống thấp cho đến hết chỉ tiêu thăng hạng được cấp có thẩm quyền giao;</w:t>
      </w:r>
    </w:p>
    <w:p w14:paraId="4739EED6"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b) Đối với trường hợp dự xét thăng hạng từ hạng III lên hạng II: Sử dụng quy định về nhiệm vụ của hạng II để làm căn cứ xét thăng hạng. Lấy điểm chấm minh chứng về các nhiệm vụ của hạng II mà giáo viên hạng III đã thực hiện trong 06 năm liền kề trước thời điểm hết hạn nộp hồ sơ đăng ký dự xét thăng hạng theo thứ tự từ cao xuống thấp cho đến hết chỉ tiêu thăng hạng được cấp có thẩm quyền giao. Hướng dẫn minh chứng và chấm điểm được quy định tại phụ lục kèm theo Thông tư này;</w:t>
      </w:r>
    </w:p>
    <w:p w14:paraId="148C7092"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c) Trường hợp có từ 02 người trở lên có điểm bằng nhau ở chỉ tiêu thăng hạng cuối cùng thì việc xác định người trúng tuyển được thực hiện theo thứ tự ưu tiên sau: giáo viên là nữ, giáo viên là người dân tộc thiểu số, giáo viên nhiều tuổi hơn (tính theo ngày, tháng, năm sinh), giáo viên có thời gian công tác nhiều hơn. Nếu vẫn không xác định được thì người đứng đầu cơ quan, đơn vị có thẩm quyền tổ chức xét thăng hạng có văn bản trao đổi với người đứng đầu cơ quan có thẩm quyền quản lý viên chức và quyết định người trúng tuyển theo đề nghị của người đứng đầu cơ quan có thẩm quyền quản lý viên chức.</w:t>
      </w:r>
    </w:p>
    <w:p w14:paraId="6AC748EF"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3. Giáo viên không trúng tuyển trong kỳ xét thăng hạng chức danh nghề nghiệp theo quy định tại khoản 1, khoản 2 Điều này không được bảo lưu kết quả cho các kỳ xét thăng hạng chức danh nghề nghiệp lần sau.</w:t>
      </w:r>
    </w:p>
    <w:p w14:paraId="7A45E5FE"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4. Thông báo kết quả xét thăng hạng chức danh nghề nghiệp giáo viên:</w:t>
      </w:r>
    </w:p>
    <w:p w14:paraId="66953423"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Trong thời hạn 10 ngày kể từ ngày hoàn thành việc xét thăng hạng, Hội đồng xét thăng hạng chức danh nghề nghiệp phải báo cáo người đứng đầu cơ quan, đơn vị có thẩm quyền tổ chức xét thăng hạng chức danh nghề nghiệp về kết quả xét thăng hạng; đồng thời, công khai trên trang thông tin điện tử hoặc cổng thông tin điện tử của cơ quan, đơn vị có thẩm quyền tổ chức xét thăng hạng chức danh nghề nghiệp và gửi thông báo bằng văn bản tới cơ quan, đơn vị cử giáo viên dự xét về kết quả xét thăng hạng để thông báo cho giáo viên được biết;</w:t>
      </w:r>
    </w:p>
    <w:p w14:paraId="04FE0E17"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b) Trong thời hạn 15 ngày kể từ ngày thông báo kết quả xét thăng hạng, giáo viên dự xét có quyền gửi đơn đề nghị phúc khảo kết quả chấm điểm hồ sơ đăng ký dự xét thăng hạng và điểm kiểm tra, sát hạch (trong trường hợp làm bài thi trắc nghiệm trên giấy). Hội đồng xét thăng hạng chức danh nghề nghiệp có trách nhiệm thành lập Ban chấm phúc khảo và tổ chức chấm phúc khảo, công bố kết quả chấm phúc khảo chậm nhất 15 ngày kể từ ngày hết thời hạn nhận đơn phúc khảo theo quy định tại khoản này;</w:t>
      </w:r>
    </w:p>
    <w:p w14:paraId="216F46FF"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c) Chậm nhất 05 ngày làm việc kể từ ngày công bố kết quả chấm phúc khảo, Hội đồng xét thăng hạng chức danh nghề nghiệp báo cáo người đứng đầu cơ quan, đơn vị có thẩm quyền tổ chức xét thăng hạng chức danh nghề nghiệp phê duyệt kết quả kỳ xét thăng hạng và danh sách giáo viên trúng tuyển;</w:t>
      </w:r>
    </w:p>
    <w:p w14:paraId="450378C8"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d) Chậm nhất 05 ngày làm việc kể từ ngày có quyết định phê duyệt kết quả kỳ xét thăng hạng chức danh nghề nghiệp, Hội đồng xét thăng hạng chức danh nghề nghiệp có trách nhiệm thông báo kết quả xét và danh sách giáo viên trúng tuyển bằng văn bản tới cơ quan, đơn vị cử giáo viên tham dự kỳ xét.</w:t>
      </w:r>
    </w:p>
    <w:p w14:paraId="313D69D2" w14:textId="77777777" w:rsidR="005A1FC1" w:rsidRDefault="005A1FC1" w:rsidP="005A1FC1">
      <w:pPr>
        <w:pStyle w:val="NormalWeb"/>
        <w:spacing w:after="90" w:afterAutospacing="0" w:line="345" w:lineRule="atLeast"/>
        <w:jc w:val="both"/>
        <w:rPr>
          <w:rFonts w:ascii="Arial" w:hAnsi="Arial" w:cs="Arial"/>
        </w:rPr>
      </w:pPr>
    </w:p>
    <w:p w14:paraId="1C117CFA" w14:textId="77777777" w:rsidR="005A1FC1" w:rsidRDefault="005A1FC1" w:rsidP="005A1FC1">
      <w:pPr>
        <w:pStyle w:val="Heading2"/>
        <w:spacing w:before="75" w:after="75" w:line="375" w:lineRule="atLeast"/>
        <w:rPr>
          <w:rFonts w:eastAsia="Times New Roman" w:cs="Arial"/>
          <w:color w:val="A76014"/>
          <w:sz w:val="27"/>
          <w:szCs w:val="27"/>
        </w:rPr>
      </w:pPr>
      <w:r>
        <w:rPr>
          <w:rStyle w:val="Strong"/>
          <w:rFonts w:eastAsia="Times New Roman" w:cs="Arial"/>
          <w:b/>
          <w:bCs w:val="0"/>
          <w:color w:val="A76014"/>
          <w:sz w:val="21"/>
          <w:szCs w:val="21"/>
        </w:rPr>
        <w:t>Chương IV: ĐIỀU KHOẢN THI HÀNH</w:t>
      </w:r>
    </w:p>
    <w:p w14:paraId="65F43492" w14:textId="77777777" w:rsidR="005A1FC1" w:rsidRDefault="005A1FC1" w:rsidP="005A1FC1">
      <w:pPr>
        <w:pStyle w:val="Heading3"/>
        <w:spacing w:before="75" w:after="75" w:line="375" w:lineRule="atLeast"/>
        <w:rPr>
          <w:rFonts w:eastAsia="Times New Roman" w:cs="Arial"/>
          <w:color w:val="A76014"/>
          <w:sz w:val="27"/>
          <w:szCs w:val="27"/>
        </w:rPr>
      </w:pPr>
      <w:r>
        <w:rPr>
          <w:rStyle w:val="Strong"/>
          <w:rFonts w:eastAsia="Times New Roman" w:cs="Arial"/>
          <w:b/>
          <w:bCs w:val="0"/>
          <w:color w:val="A76014"/>
          <w:sz w:val="21"/>
          <w:szCs w:val="21"/>
        </w:rPr>
        <w:t>Điều 8. Điều khoản thi hành</w:t>
      </w:r>
    </w:p>
    <w:p w14:paraId="6491B641" w14:textId="77777777" w:rsidR="005A1FC1" w:rsidRDefault="005A1FC1" w:rsidP="005A1FC1">
      <w:pPr>
        <w:pStyle w:val="NormalWeb"/>
        <w:spacing w:after="90" w:afterAutospacing="0" w:line="345" w:lineRule="atLeast"/>
        <w:jc w:val="both"/>
        <w:rPr>
          <w:rFonts w:ascii="Arial" w:eastAsia="Calibri" w:hAnsi="Arial" w:cs="Arial"/>
        </w:rPr>
      </w:pPr>
      <w:r>
        <w:rPr>
          <w:rFonts w:ascii="Arial" w:hAnsi="Arial" w:cs="Arial"/>
        </w:rPr>
        <w:t>1. Thông tư này có hiệu lực thi hành kể từ ngày 15 tháng 01 năm 2022.</w:t>
      </w:r>
    </w:p>
    <w:p w14:paraId="4509C70F"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2.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14:paraId="2326766C"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3. Trường hợp các văn bản dẫn chiếu tại Thông tư này được sửa đổi, bổ sung hoặc thay thế thì thực hiện theo các văn bản mới.</w:t>
      </w:r>
    </w:p>
    <w:p w14:paraId="1599DD43"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4. Thông tư này thay thế các Thông tư: Thông tư số 20/2017/TT-BGDĐT ngày 18 tháng 8 năm 2017 của Bộ Giáo dục và Đào tạo quy định tiêu chuẩn, điều kiện, nội dung, hình thức thi thăng hạng chức danh nghề nghiệp giáo viên mầm non, phổ thông công lập; Thông tư số 28/2017/TT-BGDĐT ngày 30 tháng 11 năm 2017 của Bộ Giáo dục và Đào tạo quy định tiêu chuẩn, điều kiện, nội dung, hình thức xét thăng hạng chức danh nghề nghiệp giáo viên mầm non, phổ thông công lập.</w:t>
      </w:r>
    </w:p>
    <w:p w14:paraId="4ACA0684"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5. Bãi bỏ Quy chế xét thăng hạng chức danh nghề nghiệp giáo viên mầm non, phổ thông công lập ban hành kèm theo Thông tư số 29/2017/TT-BGDĐT ngày 30 tháng 11 năm 2017 của Bộ Giáo dục và Đào tạo./.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3945"/>
      </w:tblGrid>
      <w:tr w:rsidR="005A1FC1" w14:paraId="381E98DA" w14:textId="77777777" w:rsidTr="005A1FC1">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D21D" w14:textId="77777777" w:rsidR="005A1FC1" w:rsidRDefault="005A1FC1">
            <w:pPr>
              <w:pStyle w:val="NormalWeb"/>
              <w:spacing w:after="90" w:afterAutospacing="0" w:line="345" w:lineRule="atLeast"/>
              <w:jc w:val="both"/>
              <w:rPr>
                <w:rFonts w:ascii="Arial" w:hAnsi="Arial" w:cs="Arial"/>
                <w:sz w:val="21"/>
                <w:szCs w:val="21"/>
              </w:rPr>
            </w:pPr>
          </w:p>
          <w:p w14:paraId="27518C69" w14:textId="77777777" w:rsidR="005A1FC1" w:rsidRDefault="005A1FC1">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r>
              <w:rPr>
                <w:rFonts w:ascii="Arial" w:hAnsi="Arial" w:cs="Arial"/>
                <w:sz w:val="21"/>
                <w:szCs w:val="21"/>
              </w:rPr>
              <w:br/>
              <w:t>- Văn phòng Quốc hội;</w:t>
            </w:r>
            <w:r>
              <w:rPr>
                <w:rFonts w:ascii="Arial" w:hAnsi="Arial" w:cs="Arial"/>
                <w:sz w:val="21"/>
                <w:szCs w:val="21"/>
              </w:rPr>
              <w:br/>
              <w:t>- Văn phòng Chính phủ;</w:t>
            </w:r>
            <w:r>
              <w:rPr>
                <w:rFonts w:ascii="Arial" w:hAnsi="Arial" w:cs="Arial"/>
                <w:sz w:val="21"/>
                <w:szCs w:val="21"/>
              </w:rPr>
              <w:br/>
              <w:t>- Ủy ban VHGD của Quốc hội;</w:t>
            </w:r>
            <w:r>
              <w:rPr>
                <w:rFonts w:ascii="Arial" w:hAnsi="Arial" w:cs="Arial"/>
                <w:sz w:val="21"/>
                <w:szCs w:val="21"/>
              </w:rPr>
              <w:br/>
              <w:t>- Ban Tuyên giáo Trung ương;</w:t>
            </w:r>
            <w:r>
              <w:rPr>
                <w:rFonts w:ascii="Arial" w:hAnsi="Arial" w:cs="Arial"/>
                <w:sz w:val="21"/>
                <w:szCs w:val="21"/>
              </w:rPr>
              <w:br/>
              <w:t>- Cục Kiểm tra VBQPPL (Bộ Tư pháp);</w:t>
            </w:r>
            <w:r>
              <w:rPr>
                <w:rFonts w:ascii="Arial" w:hAnsi="Arial" w:cs="Arial"/>
                <w:sz w:val="21"/>
                <w:szCs w:val="21"/>
              </w:rPr>
              <w:br/>
              <w:t>- Các Bộ, cơ quan ngang Bộ, cơ quan thuộc Chính phủ;</w:t>
            </w:r>
            <w:r>
              <w:rPr>
                <w:rFonts w:ascii="Arial" w:hAnsi="Arial" w:cs="Arial"/>
                <w:sz w:val="21"/>
                <w:szCs w:val="21"/>
              </w:rPr>
              <w:br/>
              <w:t>- Hội đồng Quốc gia Giáo dục và Phát triển nhân lực;</w:t>
            </w:r>
            <w:r>
              <w:rPr>
                <w:rFonts w:ascii="Arial" w:hAnsi="Arial" w:cs="Arial"/>
                <w:sz w:val="21"/>
                <w:szCs w:val="21"/>
              </w:rPr>
              <w:br/>
              <w:t>- HĐND, UBND các tỉnh, thành phố trực thuộc TƯ;</w:t>
            </w:r>
            <w:r>
              <w:rPr>
                <w:rFonts w:ascii="Arial" w:hAnsi="Arial" w:cs="Arial"/>
                <w:sz w:val="21"/>
                <w:szCs w:val="21"/>
              </w:rPr>
              <w:br/>
              <w:t>- Bộ trưởng;</w:t>
            </w:r>
            <w:r>
              <w:rPr>
                <w:rFonts w:ascii="Arial" w:hAnsi="Arial" w:cs="Arial"/>
                <w:sz w:val="21"/>
                <w:szCs w:val="21"/>
              </w:rPr>
              <w:br/>
              <w:t>- Các Thứ trưởng;</w:t>
            </w:r>
            <w:r>
              <w:rPr>
                <w:rFonts w:ascii="Arial" w:hAnsi="Arial" w:cs="Arial"/>
                <w:sz w:val="21"/>
                <w:szCs w:val="21"/>
              </w:rPr>
              <w:br/>
              <w:t>- Các Sở Giáo dục và Đào tạo; Sở Giáo dục, Khoa học và Công nghệ Bạc Liêu;</w:t>
            </w:r>
            <w:r>
              <w:rPr>
                <w:rFonts w:ascii="Arial" w:hAnsi="Arial" w:cs="Arial"/>
                <w:sz w:val="21"/>
                <w:szCs w:val="21"/>
              </w:rPr>
              <w:br/>
              <w:t>- Công báo;</w:t>
            </w:r>
            <w:r>
              <w:rPr>
                <w:rFonts w:ascii="Arial" w:hAnsi="Arial" w:cs="Arial"/>
                <w:sz w:val="21"/>
                <w:szCs w:val="21"/>
              </w:rPr>
              <w:br/>
              <w:t>- Cổng TTĐT của Chính phủ;</w:t>
            </w:r>
            <w:r>
              <w:rPr>
                <w:rFonts w:ascii="Arial" w:hAnsi="Arial" w:cs="Arial"/>
                <w:sz w:val="21"/>
                <w:szCs w:val="21"/>
              </w:rPr>
              <w:br/>
              <w:t>- Cổng TTĐT của Bộ Giáo dục và Đào tạo;</w:t>
            </w:r>
            <w:r>
              <w:rPr>
                <w:rFonts w:ascii="Arial" w:hAnsi="Arial" w:cs="Arial"/>
                <w:sz w:val="21"/>
                <w:szCs w:val="21"/>
              </w:rPr>
              <w:br/>
              <w:t>- Công đoàn Giáo dục Việt Nam;</w:t>
            </w:r>
            <w:r>
              <w:rPr>
                <w:rFonts w:ascii="Arial" w:hAnsi="Arial" w:cs="Arial"/>
                <w:sz w:val="21"/>
                <w:szCs w:val="21"/>
              </w:rPr>
              <w:br/>
              <w:t>- Lưu: VT, PC, NGCBQLGD (15b)</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464DE" w14:textId="77777777" w:rsidR="005A1FC1" w:rsidRDefault="005A1FC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Phạm Ngọc Thưởng</w:t>
            </w:r>
          </w:p>
        </w:tc>
      </w:tr>
    </w:tbl>
    <w:p w14:paraId="08DAB4F2" w14:textId="77777777" w:rsidR="005A1FC1" w:rsidRDefault="005A1FC1" w:rsidP="005A1FC1">
      <w:pPr>
        <w:pStyle w:val="NormalWeb"/>
        <w:spacing w:after="90" w:afterAutospacing="0" w:line="345" w:lineRule="atLeast"/>
        <w:jc w:val="both"/>
        <w:rPr>
          <w:rFonts w:ascii="Arial" w:eastAsia="Calibri" w:hAnsi="Arial" w:cs="Arial"/>
        </w:rPr>
      </w:pPr>
    </w:p>
    <w:p w14:paraId="495C61E9" w14:textId="77777777" w:rsidR="005A1FC1" w:rsidRDefault="005A1FC1" w:rsidP="005A1FC1">
      <w:pPr>
        <w:pStyle w:val="Heading2"/>
        <w:spacing w:before="75" w:after="75" w:line="375" w:lineRule="atLeast"/>
        <w:jc w:val="center"/>
        <w:rPr>
          <w:rFonts w:eastAsia="Times New Roman" w:cs="Arial"/>
          <w:color w:val="A76014"/>
          <w:sz w:val="27"/>
          <w:szCs w:val="27"/>
        </w:rPr>
      </w:pPr>
      <w:r>
        <w:rPr>
          <w:rStyle w:val="Strong"/>
          <w:rFonts w:eastAsia="Times New Roman" w:cs="Arial"/>
          <w:b/>
          <w:bCs w:val="0"/>
          <w:color w:val="A76014"/>
          <w:sz w:val="21"/>
          <w:szCs w:val="21"/>
        </w:rPr>
        <w:t>PHỤ LỤC</w:t>
      </w:r>
    </w:p>
    <w:p w14:paraId="7824F1BF" w14:textId="77777777" w:rsidR="005A1FC1" w:rsidRDefault="005A1FC1" w:rsidP="005A1FC1">
      <w:pPr>
        <w:pStyle w:val="NormalWeb"/>
        <w:spacing w:after="90" w:afterAutospacing="0" w:line="345" w:lineRule="atLeast"/>
        <w:jc w:val="center"/>
        <w:rPr>
          <w:rFonts w:ascii="Arial" w:eastAsia="Calibri" w:hAnsi="Arial" w:cs="Arial"/>
        </w:rPr>
      </w:pPr>
      <w:r>
        <w:rPr>
          <w:rStyle w:val="Strong"/>
          <w:rFonts w:ascii="Arial" w:hAnsi="Arial" w:cs="Arial"/>
          <w:sz w:val="21"/>
          <w:szCs w:val="21"/>
        </w:rPr>
        <w:t>HƯỚNG DẪN MINH CHỨNG VÀ CHẤM ĐIỂM HỒ SƠ XÉT THĂNG HẠNG CHỨC DANH NGHỀ NGHIỆP GIÁO VIÊN MẦM NON, PHỔ THÔNG CÔNG LẬP</w:t>
      </w:r>
      <w:r>
        <w:rPr>
          <w:rFonts w:ascii="Arial" w:hAnsi="Arial" w:cs="Arial"/>
          <w:sz w:val="21"/>
          <w:szCs w:val="21"/>
        </w:rPr>
        <w:br/>
      </w:r>
      <w:r>
        <w:rPr>
          <w:rStyle w:val="Emphasis"/>
          <w:rFonts w:ascii="Arial" w:hAnsi="Arial" w:cs="Arial"/>
          <w:sz w:val="21"/>
          <w:szCs w:val="21"/>
        </w:rPr>
        <w:t>(Kèm theo Thông tư số 34/2021/TT-BGDĐT ngày 30 tháng 11 năm 2021 của Bộ Giáo dục và Đào tạo)</w:t>
      </w:r>
    </w:p>
    <w:p w14:paraId="3C5B1EE1" w14:textId="77777777" w:rsidR="005A1FC1" w:rsidRDefault="005A1FC1" w:rsidP="005A1FC1">
      <w:pPr>
        <w:pStyle w:val="NormalWeb"/>
        <w:spacing w:after="90" w:afterAutospacing="0" w:line="345" w:lineRule="atLeast"/>
        <w:jc w:val="both"/>
        <w:rPr>
          <w:rFonts w:ascii="Arial" w:hAnsi="Arial" w:cs="Arial"/>
        </w:rPr>
      </w:pPr>
      <w:r>
        <w:rPr>
          <w:rStyle w:val="Strong"/>
          <w:rFonts w:ascii="Arial" w:hAnsi="Arial" w:cs="Arial"/>
          <w:sz w:val="21"/>
          <w:szCs w:val="21"/>
        </w:rPr>
        <w:t>A. Hướng dẫn minh chứng và chấm điểm các nhóm tiêu chí quy định tại khoản 1 Điều 6 Thông tư này</w:t>
      </w:r>
    </w:p>
    <w:p w14:paraId="0EBC6633"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Hồ sơ xét thăng hạng được chấm theo thang điểm 100 bao gồm các điểm thành phần sau:</w:t>
      </w:r>
    </w:p>
    <w:p w14:paraId="6CA95870"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b/>
          <w:bCs/>
          <w:sz w:val="21"/>
          <w:szCs w:val="21"/>
        </w:rPr>
        <w:t>I. Điểm chấm nhóm tiêu chí về tiêu chuẩn trình độ đào tạo, bồi dưỡng (20 điểm)</w:t>
      </w:r>
    </w:p>
    <w:p w14:paraId="37B2BD72"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Bao gồm các bằng cấp, chứng chỉ theo quy định về tiêu chuẩn trình độ đào tạo, bồi dưỡng của hạng đăng ký dự xét.</w:t>
      </w:r>
    </w:p>
    <w:p w14:paraId="5F1A8286"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b/>
          <w:bCs/>
          <w:sz w:val="21"/>
          <w:szCs w:val="21"/>
        </w:rPr>
        <w:t>II. Điểm chấm nhóm tiêu chí về tiêu chuẩn năng lực chuyên môn, nghiệp vụ (80 điểm)</w:t>
      </w:r>
    </w:p>
    <w:p w14:paraId="170E2CCB"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Bao gồm các minh chứng sau:</w:t>
      </w:r>
    </w:p>
    <w:p w14:paraId="15D9209F"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Biên bản cuộc họp với sự tham gia của Hiệu trưởng, Phó hiệu trưởng phụ trách chuyên môn, tổ chuyên môn, đại diện các tổ chức đoàn thể trong nhà trường ghi ý kiến nhận xét, đánh giá từng tiêu chí có xác nhận của hiệu trưởng; các minh chứng khác (nếu có) thể hiện việc đáp ứng tiêu chuẩn năng lực chuyên môn, nghiệp vụ để có thể đảm nhận nhiệm vụ của hạng dự xét như các văn bằng, chứng chỉ, chứng nhận, quyết định, bằng khen, giấy khen, đề tài, đề án hoặc sản phẩm được ứng dụng trong giáo dục, giảng dạy học sinh và tài liệu có liên quan: 45 điểm;</w:t>
      </w:r>
    </w:p>
    <w:p w14:paraId="45C52211"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Minh chứng về các danh hiệu thi đua, khen thưởng, các danh hiệu giáo viên giỏi theo yêu cầu của hạng đăng ký dự xét: 20 điểm;</w:t>
      </w:r>
    </w:p>
    <w:p w14:paraId="36B8C9C2"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Minh chứng về thời gian giữ hạng chức danh nghề nghiệp thấp hơn liền kề (bao gồm cả thời gian giữ hạng tương đương theo quy định) theo yêu cầu của hạng đăng ký dự xét: 15 điểm.</w:t>
      </w:r>
    </w:p>
    <w:p w14:paraId="6A20DA4F" w14:textId="77777777" w:rsidR="005A1FC1" w:rsidRDefault="005A1FC1" w:rsidP="005A1FC1">
      <w:pPr>
        <w:pStyle w:val="NormalWeb"/>
        <w:spacing w:after="90" w:afterAutospacing="0" w:line="345" w:lineRule="atLeast"/>
        <w:jc w:val="both"/>
        <w:rPr>
          <w:rFonts w:ascii="Arial" w:hAnsi="Arial" w:cs="Arial"/>
        </w:rPr>
      </w:pPr>
      <w:r>
        <w:rPr>
          <w:rStyle w:val="Strong"/>
          <w:rFonts w:ascii="Arial" w:hAnsi="Arial" w:cs="Arial"/>
          <w:sz w:val="21"/>
          <w:szCs w:val="21"/>
        </w:rPr>
        <w:t>B. Hướng dẫn minh chứng và chấm điểm về thực hiện nhiệm vụ của hạng II đối với giáo viên đăng ký dự xét thăng hạng từ hạng III lên hạng II trong trường hợp số lượng hồ sơ xét thăng hạng đáp ứng yêu cầu tại khoản 1 Điều 7 Thông tư này nhiều hơn số chỉ tiêu thăng hạng được cấp có thẩm quyền giao</w:t>
      </w:r>
    </w:p>
    <w:p w14:paraId="096409CE"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b/>
          <w:bCs/>
          <w:sz w:val="21"/>
          <w:szCs w:val="21"/>
        </w:rPr>
        <w:t>I. Điểm chấm minh chứng về thực hiện nhiệm vụ của hạng II mà giáo viên đã thực hiện và đạt kết quả (nếu có):</w:t>
      </w:r>
      <w:r>
        <w:rPr>
          <w:rFonts w:ascii="Arial" w:hAnsi="Arial" w:cs="Arial"/>
        </w:rPr>
        <w:t> Mỗi nhóm nhiệm vụ được tính tối đa 1,0 điểm, không chấm điểm đối với minh chứng về các nhiệm vụ của hạng III, không làm tròn số khi cộng các điểm thành phần, điểm của từng nhiệm vụ trong mỗi nhóm nhiệm vụ do Hội đồng xét thăng hạng quy định. Cụ thể:</w:t>
      </w:r>
    </w:p>
    <w:p w14:paraId="5DD8D609" w14:textId="77777777" w:rsidR="005A1FC1" w:rsidRDefault="005A1FC1" w:rsidP="005A1FC1">
      <w:pPr>
        <w:pStyle w:val="NormalWeb"/>
        <w:spacing w:after="90" w:afterAutospacing="0" w:line="345" w:lineRule="atLeast"/>
        <w:jc w:val="both"/>
        <w:rPr>
          <w:rFonts w:ascii="Arial" w:hAnsi="Arial" w:cs="Arial"/>
        </w:rPr>
      </w:pPr>
      <w:r>
        <w:rPr>
          <w:rStyle w:val="Strong"/>
          <w:rFonts w:ascii="Arial" w:hAnsi="Arial" w:cs="Arial"/>
          <w:sz w:val="21"/>
          <w:szCs w:val="21"/>
        </w:rPr>
        <w:t>* Đối với giáo viên mầm non</w:t>
      </w:r>
    </w:p>
    <w:p w14:paraId="62980BEE"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Làm báo cáo viên hoặc dạy minh họa tại các lớp bồi dưỡng giáo viên mầm non cấp trường trở lên; hướng dẫn đồng nghiệp thực hiện chương trình và các hoạt động nuôi dưỡng, chăm sóc, giáo dục trẻ em: 1,0 điểm;</w:t>
      </w:r>
    </w:p>
    <w:p w14:paraId="7E0EA28B"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b) Đề xuất các nội dung bồi dưỡng và sinh hoạt chuyên đề ở tổ (khối) chuyên môn: 1,0 điểm;</w:t>
      </w:r>
    </w:p>
    <w:p w14:paraId="127E9CB8"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c) Tham gia ban giám khảo các hội thi cấp học mầm non từ cấp trường trở lên: 1,0 điểm;</w:t>
      </w:r>
    </w:p>
    <w:p w14:paraId="1E4EF9D1"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d) Tham gia các hoạt động chuyên môn khác như hội đồng tự đánh giá hoặc đoàn đánh giá ngoài; kiểm tra chuyên môn, nghiệp vụ sư phạm cấp trường trở lên; tham gia hướng dẫn, đánh giá thực tập sư phạm của sinh viên (nếu có): 1,0 điểm.</w:t>
      </w:r>
    </w:p>
    <w:p w14:paraId="56D27887" w14:textId="77777777" w:rsidR="005A1FC1" w:rsidRDefault="005A1FC1" w:rsidP="005A1FC1">
      <w:pPr>
        <w:pStyle w:val="NormalWeb"/>
        <w:spacing w:after="90" w:afterAutospacing="0" w:line="345" w:lineRule="atLeast"/>
        <w:jc w:val="both"/>
        <w:rPr>
          <w:rFonts w:ascii="Arial" w:hAnsi="Arial" w:cs="Arial"/>
        </w:rPr>
      </w:pPr>
      <w:r>
        <w:rPr>
          <w:rStyle w:val="Strong"/>
          <w:rFonts w:ascii="Arial" w:hAnsi="Arial" w:cs="Arial"/>
          <w:sz w:val="21"/>
          <w:szCs w:val="21"/>
        </w:rPr>
        <w:t>* Đối với giáo viên tiểu học</w:t>
      </w:r>
    </w:p>
    <w:p w14:paraId="6366B652"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Là báo cáo viên hoặc dạy minh họa ở các lớp bồi dưỡng giáo viên tiểu học hoặc dạy thử nghiệm các mô hình, phương pháp mới từ cấp trường trở lên: 1,0 điểm;</w:t>
      </w:r>
    </w:p>
    <w:p w14:paraId="766D5B7A"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b) Chủ trì các nội dung bồi dưỡng và sinh hoạt chuyên môn/chuyên đề ở tổ, khối chuyên môn; tham gia đánh giá, xét duyệt đề tài nghiên cứu khoa học sư phạm ứng dụng của đồng nghiệp từ cấp trường trở lên: 1,0 điểm;</w:t>
      </w:r>
    </w:p>
    <w:p w14:paraId="5C5B428B"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c) Tham gia ban giám khảo hội thi giáo viên dạy giỏi, giáo viên chủ nhiệm lớp giỏi, giáo viên làm Tổng phụ trách Đội Thiếu niên tiền phong Hồ Chí Minh giỏi từ cấp trường trở lên; thực hiện các nhiệm vụ của giáo viên cốt cán trường tiểu học: 1,0 điểm;</w:t>
      </w:r>
    </w:p>
    <w:p w14:paraId="3414A5A4"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d) Tham gia các hoạt động chuyên môn khác như kiểm định chất lượng giáo dục, thanh tra, kiểm tra chuyên môn, nghiệp vụ sư phạm từ cấp trường trở lên; tham gia hướng dẫn, đánh giá thực tập sư phạm của sinh viên (nếu có): 1,0 điểm.</w:t>
      </w:r>
    </w:p>
    <w:p w14:paraId="17234193" w14:textId="77777777" w:rsidR="005A1FC1" w:rsidRDefault="005A1FC1" w:rsidP="005A1FC1">
      <w:pPr>
        <w:pStyle w:val="NormalWeb"/>
        <w:spacing w:after="90" w:afterAutospacing="0" w:line="345" w:lineRule="atLeast"/>
        <w:jc w:val="both"/>
        <w:rPr>
          <w:rFonts w:ascii="Arial" w:hAnsi="Arial" w:cs="Arial"/>
        </w:rPr>
      </w:pPr>
      <w:r>
        <w:rPr>
          <w:rStyle w:val="Strong"/>
          <w:rFonts w:ascii="Arial" w:hAnsi="Arial" w:cs="Arial"/>
          <w:sz w:val="21"/>
          <w:szCs w:val="21"/>
        </w:rPr>
        <w:t>* Đối với giáo viên trung học cơ sở</w:t>
      </w:r>
    </w:p>
    <w:p w14:paraId="3E975255"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Làm báo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 1,0 điểm;</w:t>
      </w:r>
    </w:p>
    <w:p w14:paraId="4E3E6DFB"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b) Tham gia hướng dẫn hoặc đánh giá các sản phẩm nghiên cứu khoa học và công nghệ từ cấp trường trở lên: 1,0 điểm;</w:t>
      </w:r>
    </w:p>
    <w:p w14:paraId="4C0E0DA0"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c) Tham gia các hoạt động xã hội, phục vụ cộng đồng; thu hút sự tham gia của các tổ chức, cá nhân trong việc tổ chức các hoạt động dạy học, giáo dục học sinh: 1,0 điểm:</w:t>
      </w:r>
    </w:p>
    <w:p w14:paraId="522D8BFD"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d) Tham gia đoàn đánh giá ngoài; hoặc công tác kiểm tra chuyên môn, nghiệp vụ cho giáo viên từ cấp trường trở lên: 1,0 điểm;</w:t>
      </w:r>
    </w:p>
    <w:p w14:paraId="38605316"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đ) Tham gia ban giám khảo hoặc ban ra đề hoặc người hướng dẫn trong các hội thi (của giáo viên hoặc học sinh) từ cấp trường trở lên (nếu có): 1,0 điểm.</w:t>
      </w:r>
    </w:p>
    <w:p w14:paraId="6260353A"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Đối với giáo viên trung học phổ thông</w:t>
      </w:r>
    </w:p>
    <w:p w14:paraId="1FE6E1CA"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a) Làm báo cáo viên hoặc dạy minh họa ở các lớp bồi dưỡng giáo viên từ cấp trường trở lên hoặc dạy thử nghiệm các mô hình, phương pháp, công nghệ mới; chủ trì các nội dung bồi dưỡng và sinh hoạt chuyên đề ở tổ chuyên môn hoặc tham gia xây dựng học liệu điện tử: 1,0 điểm;</w:t>
      </w:r>
    </w:p>
    <w:p w14:paraId="7770D58D"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b) Tham gia hướng dẫn hoặc đánh giá các sản phẩm nghiên cứu khoa học và công nghệ từ cấp trường trở lên: 1,0 điểm;</w:t>
      </w:r>
    </w:p>
    <w:p w14:paraId="3EBD73E4"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c) Tham gia đánh giá ngoài hoặc công tác kiểm tra chuyên môn, nghiệp vụ cho giáo viên từ cấp trường trở lên: 1,0 điểm;</w:t>
      </w:r>
    </w:p>
    <w:p w14:paraId="0513BA70"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d) Tham gia ban giám khảo hội thi giáo viên dạy giỏi hoặc giáo viên chủ nhiệm lớp giỏi cấp trường trở lên: 1,0 điểm;</w:t>
      </w:r>
    </w:p>
    <w:p w14:paraId="60E40E89"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đ) Tham gia ra đề hoặc chấm thi học sinh giỏi trung học phổ thông từ cấp trường trở lên: 1,0 điểm;</w:t>
      </w:r>
    </w:p>
    <w:p w14:paraId="280E9249"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e) Tham gia hướng dẫn hoặc đánh giá các hội thi hoặc các sản phẩm nghiên cứu khoa học kỹ thuật của học sinh trung học phổ thông từ cấp trường trở lên: 1,0 điểm;</w:t>
      </w:r>
    </w:p>
    <w:p w14:paraId="520EBF4E"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g) Tham gia các hoạt động xã hội, phục vụ cộng đồng; thu hút sự tham gia của các tổ chức, cá nhân trong việc tổ chức các hoạt động dạy học, giáo dục học sinh: 1,0 điểm.</w:t>
      </w:r>
    </w:p>
    <w:p w14:paraId="1ACDE370" w14:textId="77777777" w:rsidR="005A1FC1" w:rsidRDefault="005A1FC1" w:rsidP="005A1FC1">
      <w:pPr>
        <w:pStyle w:val="NormalWeb"/>
        <w:spacing w:after="90" w:afterAutospacing="0" w:line="345" w:lineRule="atLeast"/>
        <w:jc w:val="both"/>
        <w:rPr>
          <w:rFonts w:ascii="Arial" w:hAnsi="Arial" w:cs="Arial"/>
        </w:rPr>
      </w:pPr>
      <w:r>
        <w:rPr>
          <w:rStyle w:val="Emphasis"/>
          <w:rFonts w:ascii="Arial" w:hAnsi="Arial" w:cs="Arial"/>
          <w:b/>
          <w:bCs/>
          <w:sz w:val="21"/>
          <w:szCs w:val="21"/>
        </w:rPr>
        <w:t>II. Gợi ý minh chứng về các nhiệm vụ của hạng II mà giáo viên đã thực hiện và đạt kết quả:</w:t>
      </w:r>
    </w:p>
    <w:p w14:paraId="679AF9D4"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Quyết định/văn bản phân công nhiệm vụ/văn bản triệu tập của cấp có thẩm quyền;</w:t>
      </w:r>
    </w:p>
    <w:p w14:paraId="3F6F386C"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Sản phẩm nghiên cứu/sách/tài liệu bồi dưỡng/giáo án/kế hoạch giảng dạy được duyệt;</w:t>
      </w:r>
    </w:p>
    <w:p w14:paraId="28D44B1F"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Sổ ghi chép sinh hoạt chuyên môn/biên bản có xác nhận của cấp có thẩm quyền thể hiện kết quả thực hiện nhiệm vụ của giáo viên;</w:t>
      </w:r>
    </w:p>
    <w:p w14:paraId="7352AD77"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lastRenderedPageBreak/>
        <w:t>- Thông báo kết luận thanh tra, kiểm tra/nhật ký thanh tra, kiểm tra có xác nhận của cấp có thẩm quyền theo quy định;</w:t>
      </w:r>
    </w:p>
    <w:p w14:paraId="45D599D4"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Quyết định khen thưởng/văn bản ghi nhận về những đóng góp của giáo viên;</w:t>
      </w:r>
    </w:p>
    <w:p w14:paraId="2E7B2D90"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 Ngoài ra, giáo viên có thể cung cấp các minh chứng phù hợp khác thể hiện việc giáo viên đã thực hiện nhiệm vụ của hạng đăng ký dự xét và đạt kết quả.</w:t>
      </w:r>
    </w:p>
    <w:p w14:paraId="468FB518" w14:textId="77777777" w:rsidR="005A1FC1" w:rsidRDefault="005A1FC1" w:rsidP="005A1FC1">
      <w:pPr>
        <w:pStyle w:val="NormalWeb"/>
        <w:spacing w:after="90" w:afterAutospacing="0" w:line="345" w:lineRule="atLeast"/>
        <w:jc w:val="both"/>
        <w:rPr>
          <w:rFonts w:ascii="Arial" w:hAnsi="Arial" w:cs="Arial"/>
        </w:rPr>
      </w:pPr>
      <w:r>
        <w:rPr>
          <w:rStyle w:val="Strong"/>
          <w:rFonts w:ascii="Arial" w:hAnsi="Arial" w:cs="Arial"/>
          <w:sz w:val="21"/>
          <w:szCs w:val="21"/>
        </w:rPr>
        <w:t>C. Ghi chú</w:t>
      </w:r>
    </w:p>
    <w:p w14:paraId="12233403"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I. Trường hợp các nhiệm vụ của giáo viên theo hạng được sửa đổi, bổ sung, thay thế hoặc quy đổi theo quy định của pháp luật thì thực hiện theo các nhiệm vụ sửa đổi, bổ sung, thay thế hoặc quy đổi đó.</w:t>
      </w:r>
    </w:p>
    <w:p w14:paraId="6B8F05D8" w14:textId="77777777" w:rsidR="005A1FC1" w:rsidRDefault="005A1FC1" w:rsidP="005A1FC1">
      <w:pPr>
        <w:pStyle w:val="NormalWeb"/>
        <w:spacing w:after="90" w:afterAutospacing="0" w:line="345" w:lineRule="atLeast"/>
        <w:jc w:val="both"/>
        <w:rPr>
          <w:rFonts w:ascii="Arial" w:hAnsi="Arial" w:cs="Arial"/>
        </w:rPr>
      </w:pPr>
      <w:r>
        <w:rPr>
          <w:rFonts w:ascii="Arial" w:hAnsi="Arial" w:cs="Arial"/>
        </w:rPr>
        <w:t>II. Hội đồng xét thăng hạng căn cứ vào các nội dung quy định tại Phụ lục này để hướng dẫn minh chứng và chấm điểm hồ sơ xét thăng hạng chức danh nghề nghiệp giáo viên dự bị đại học./.</w:t>
      </w:r>
    </w:p>
    <w:p w14:paraId="68E0167E" w14:textId="77777777" w:rsidR="005A1FC1" w:rsidRDefault="005A1FC1" w:rsidP="005A1FC1">
      <w:pPr>
        <w:pStyle w:val="NormalWeb"/>
        <w:spacing w:after="90" w:afterAutospacing="0" w:line="345" w:lineRule="atLeast"/>
        <w:jc w:val="both"/>
        <w:rPr>
          <w:rFonts w:ascii="Arial" w:hAnsi="Arial" w:cs="Arial"/>
        </w:rPr>
      </w:pPr>
    </w:p>
    <w:p w14:paraId="77CBD6AE" w14:textId="77777777" w:rsidR="00266947" w:rsidRPr="005A1FC1" w:rsidRDefault="00266947" w:rsidP="005A1FC1">
      <w:bookmarkStart w:id="0" w:name="_GoBack"/>
      <w:bookmarkEnd w:id="0"/>
    </w:p>
    <w:sectPr w:rsidR="00266947" w:rsidRPr="005A1FC1"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5DF00" w14:textId="77777777" w:rsidR="00B864F7" w:rsidRDefault="00B864F7" w:rsidP="007446EA">
      <w:pPr>
        <w:spacing w:after="0" w:line="240" w:lineRule="auto"/>
      </w:pPr>
      <w:r>
        <w:separator/>
      </w:r>
    </w:p>
  </w:endnote>
  <w:endnote w:type="continuationSeparator" w:id="0">
    <w:p w14:paraId="7ADBC2DA" w14:textId="77777777" w:rsidR="00B864F7" w:rsidRDefault="00B864F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8F9C1" w14:textId="77777777" w:rsidR="009878D8" w:rsidRDefault="009878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35853" w14:textId="77777777" w:rsidR="00266947" w:rsidRPr="00B94548" w:rsidRDefault="00B94548" w:rsidP="00B9454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EEFF" w14:textId="77777777" w:rsidR="009878D8" w:rsidRDefault="009878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B5068" w14:textId="77777777" w:rsidR="00B864F7" w:rsidRDefault="00B864F7" w:rsidP="007446EA">
      <w:pPr>
        <w:spacing w:after="0" w:line="240" w:lineRule="auto"/>
      </w:pPr>
      <w:r>
        <w:separator/>
      </w:r>
    </w:p>
  </w:footnote>
  <w:footnote w:type="continuationSeparator" w:id="0">
    <w:p w14:paraId="0FA312FC" w14:textId="77777777" w:rsidR="00B864F7" w:rsidRDefault="00B864F7"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0A38" w14:textId="77777777" w:rsidR="009878D8" w:rsidRDefault="009878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F76AF" w14:textId="77777777" w:rsidR="00266947" w:rsidRPr="00B94548" w:rsidRDefault="00B94548" w:rsidP="00B9454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82BF4" w14:textId="77777777" w:rsidR="009878D8" w:rsidRDefault="009878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6"/>
  </w:num>
  <w:num w:numId="4">
    <w:abstractNumId w:val="18"/>
  </w:num>
  <w:num w:numId="5">
    <w:abstractNumId w:val="20"/>
  </w:num>
  <w:num w:numId="6">
    <w:abstractNumId w:val="3"/>
  </w:num>
  <w:num w:numId="7">
    <w:abstractNumId w:val="4"/>
  </w:num>
  <w:num w:numId="8">
    <w:abstractNumId w:val="22"/>
  </w:num>
  <w:num w:numId="9">
    <w:abstractNumId w:val="27"/>
  </w:num>
  <w:num w:numId="10">
    <w:abstractNumId w:val="12"/>
  </w:num>
  <w:num w:numId="11">
    <w:abstractNumId w:val="17"/>
  </w:num>
  <w:num w:numId="12">
    <w:abstractNumId w:val="19"/>
  </w:num>
  <w:num w:numId="13">
    <w:abstractNumId w:val="7"/>
  </w:num>
  <w:num w:numId="14">
    <w:abstractNumId w:val="24"/>
  </w:num>
  <w:num w:numId="15">
    <w:abstractNumId w:val="21"/>
  </w:num>
  <w:num w:numId="16">
    <w:abstractNumId w:val="23"/>
  </w:num>
  <w:num w:numId="17">
    <w:abstractNumId w:val="8"/>
  </w:num>
  <w:num w:numId="18">
    <w:abstractNumId w:val="11"/>
  </w:num>
  <w:num w:numId="19">
    <w:abstractNumId w:val="9"/>
  </w:num>
  <w:num w:numId="20">
    <w:abstractNumId w:val="6"/>
  </w:num>
  <w:num w:numId="21">
    <w:abstractNumId w:val="15"/>
  </w:num>
  <w:num w:numId="22">
    <w:abstractNumId w:val="1"/>
  </w:num>
  <w:num w:numId="23">
    <w:abstractNumId w:val="10"/>
  </w:num>
  <w:num w:numId="24">
    <w:abstractNumId w:val="28"/>
  </w:num>
  <w:num w:numId="25">
    <w:abstractNumId w:val="25"/>
  </w:num>
  <w:num w:numId="26">
    <w:abstractNumId w:val="2"/>
  </w:num>
  <w:num w:numId="27">
    <w:abstractNumId w:val="26"/>
  </w:num>
  <w:num w:numId="28">
    <w:abstractNumId w:val="0"/>
  </w:num>
  <w:num w:numId="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35774"/>
    <w:rsid w:val="00035BFC"/>
    <w:rsid w:val="00060653"/>
    <w:rsid w:val="00065E4A"/>
    <w:rsid w:val="000749B1"/>
    <w:rsid w:val="0008367D"/>
    <w:rsid w:val="00083AB8"/>
    <w:rsid w:val="00087216"/>
    <w:rsid w:val="00091A75"/>
    <w:rsid w:val="00093E42"/>
    <w:rsid w:val="00094C20"/>
    <w:rsid w:val="000B4701"/>
    <w:rsid w:val="000B4D4B"/>
    <w:rsid w:val="000B6B5F"/>
    <w:rsid w:val="000C6379"/>
    <w:rsid w:val="000C6DC7"/>
    <w:rsid w:val="000C75E5"/>
    <w:rsid w:val="000D51E6"/>
    <w:rsid w:val="000D5719"/>
    <w:rsid w:val="000E62BD"/>
    <w:rsid w:val="000E7D24"/>
    <w:rsid w:val="000F5473"/>
    <w:rsid w:val="00100E68"/>
    <w:rsid w:val="001038AF"/>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DBE"/>
    <w:rsid w:val="00292C0F"/>
    <w:rsid w:val="0029436B"/>
    <w:rsid w:val="00295607"/>
    <w:rsid w:val="002957B9"/>
    <w:rsid w:val="0029793B"/>
    <w:rsid w:val="002A03BC"/>
    <w:rsid w:val="002A1C14"/>
    <w:rsid w:val="002A4ED0"/>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0882"/>
    <w:rsid w:val="002F2039"/>
    <w:rsid w:val="002F4060"/>
    <w:rsid w:val="002F7895"/>
    <w:rsid w:val="0030052D"/>
    <w:rsid w:val="00303A3B"/>
    <w:rsid w:val="00306F60"/>
    <w:rsid w:val="00311145"/>
    <w:rsid w:val="00316291"/>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4CB0"/>
    <w:rsid w:val="00376902"/>
    <w:rsid w:val="003836E2"/>
    <w:rsid w:val="003A4326"/>
    <w:rsid w:val="003A73F7"/>
    <w:rsid w:val="003B2CE2"/>
    <w:rsid w:val="003B6EF4"/>
    <w:rsid w:val="003C01DF"/>
    <w:rsid w:val="003D1D2B"/>
    <w:rsid w:val="003E608E"/>
    <w:rsid w:val="003F3D9C"/>
    <w:rsid w:val="003F5265"/>
    <w:rsid w:val="003F5DA1"/>
    <w:rsid w:val="003F5E2A"/>
    <w:rsid w:val="004015BE"/>
    <w:rsid w:val="0040273F"/>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410F3"/>
    <w:rsid w:val="00542C5E"/>
    <w:rsid w:val="00544F46"/>
    <w:rsid w:val="00552CC6"/>
    <w:rsid w:val="00554858"/>
    <w:rsid w:val="00563EA1"/>
    <w:rsid w:val="00566914"/>
    <w:rsid w:val="005730FA"/>
    <w:rsid w:val="00574B76"/>
    <w:rsid w:val="00590C46"/>
    <w:rsid w:val="005A1FC1"/>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40271"/>
    <w:rsid w:val="006430D5"/>
    <w:rsid w:val="00644360"/>
    <w:rsid w:val="0064490B"/>
    <w:rsid w:val="00647212"/>
    <w:rsid w:val="00647B4B"/>
    <w:rsid w:val="006613CF"/>
    <w:rsid w:val="00667F86"/>
    <w:rsid w:val="00674179"/>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019D"/>
    <w:rsid w:val="006C14D2"/>
    <w:rsid w:val="006C4FF7"/>
    <w:rsid w:val="006D60D8"/>
    <w:rsid w:val="006D6E23"/>
    <w:rsid w:val="006E130D"/>
    <w:rsid w:val="006E27F5"/>
    <w:rsid w:val="006E4EF2"/>
    <w:rsid w:val="006E6267"/>
    <w:rsid w:val="006E6AC5"/>
    <w:rsid w:val="006E733F"/>
    <w:rsid w:val="00707B29"/>
    <w:rsid w:val="00712ABF"/>
    <w:rsid w:val="007150FC"/>
    <w:rsid w:val="00722147"/>
    <w:rsid w:val="00723F5F"/>
    <w:rsid w:val="00724AA4"/>
    <w:rsid w:val="00725493"/>
    <w:rsid w:val="007446EA"/>
    <w:rsid w:val="00744B77"/>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1472B"/>
    <w:rsid w:val="008178B8"/>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486E"/>
    <w:rsid w:val="008950F4"/>
    <w:rsid w:val="008B09DD"/>
    <w:rsid w:val="008C2DCD"/>
    <w:rsid w:val="008C5AFC"/>
    <w:rsid w:val="008C6DE0"/>
    <w:rsid w:val="008D6F0B"/>
    <w:rsid w:val="008F5B5A"/>
    <w:rsid w:val="00904222"/>
    <w:rsid w:val="009102C1"/>
    <w:rsid w:val="00913B46"/>
    <w:rsid w:val="0091693E"/>
    <w:rsid w:val="00916D37"/>
    <w:rsid w:val="00917E6F"/>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878D8"/>
    <w:rsid w:val="009A4A6F"/>
    <w:rsid w:val="009A700C"/>
    <w:rsid w:val="009A7A4A"/>
    <w:rsid w:val="009B02A5"/>
    <w:rsid w:val="009B072C"/>
    <w:rsid w:val="009B521D"/>
    <w:rsid w:val="009D5B1A"/>
    <w:rsid w:val="009D7EB6"/>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B58"/>
    <w:rsid w:val="00AB1DEF"/>
    <w:rsid w:val="00AB78BC"/>
    <w:rsid w:val="00AC03F5"/>
    <w:rsid w:val="00AC07C4"/>
    <w:rsid w:val="00AC2F6E"/>
    <w:rsid w:val="00AC5762"/>
    <w:rsid w:val="00AD20E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57F5D"/>
    <w:rsid w:val="00B655E4"/>
    <w:rsid w:val="00B71142"/>
    <w:rsid w:val="00B73F2C"/>
    <w:rsid w:val="00B75E6C"/>
    <w:rsid w:val="00B80359"/>
    <w:rsid w:val="00B83A02"/>
    <w:rsid w:val="00B864F7"/>
    <w:rsid w:val="00B86FD4"/>
    <w:rsid w:val="00B94548"/>
    <w:rsid w:val="00B96267"/>
    <w:rsid w:val="00BB07CF"/>
    <w:rsid w:val="00BC240B"/>
    <w:rsid w:val="00BC5FB2"/>
    <w:rsid w:val="00BF076F"/>
    <w:rsid w:val="00BF2F30"/>
    <w:rsid w:val="00BF3B0C"/>
    <w:rsid w:val="00C07041"/>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0E67"/>
    <w:rsid w:val="00D219C3"/>
    <w:rsid w:val="00D226BC"/>
    <w:rsid w:val="00D26D8B"/>
    <w:rsid w:val="00D40A53"/>
    <w:rsid w:val="00D413E8"/>
    <w:rsid w:val="00D44F86"/>
    <w:rsid w:val="00D45604"/>
    <w:rsid w:val="00D603AC"/>
    <w:rsid w:val="00D60CF9"/>
    <w:rsid w:val="00D95898"/>
    <w:rsid w:val="00DA0CD5"/>
    <w:rsid w:val="00DA14C6"/>
    <w:rsid w:val="00DA2D87"/>
    <w:rsid w:val="00DA2E98"/>
    <w:rsid w:val="00DA3D19"/>
    <w:rsid w:val="00DA3DB9"/>
    <w:rsid w:val="00DA5C82"/>
    <w:rsid w:val="00DA67FA"/>
    <w:rsid w:val="00DC05B1"/>
    <w:rsid w:val="00DC1F17"/>
    <w:rsid w:val="00DC78EF"/>
    <w:rsid w:val="00DD5AA5"/>
    <w:rsid w:val="00DE0E08"/>
    <w:rsid w:val="00DE16FB"/>
    <w:rsid w:val="00DF66F6"/>
    <w:rsid w:val="00E07C68"/>
    <w:rsid w:val="00E12656"/>
    <w:rsid w:val="00E12674"/>
    <w:rsid w:val="00E1389B"/>
    <w:rsid w:val="00E13BEF"/>
    <w:rsid w:val="00E21665"/>
    <w:rsid w:val="00E265E0"/>
    <w:rsid w:val="00E330B0"/>
    <w:rsid w:val="00E33BC3"/>
    <w:rsid w:val="00E401FB"/>
    <w:rsid w:val="00E43730"/>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D00EC"/>
    <w:rsid w:val="00ED16D6"/>
    <w:rsid w:val="00ED2E9A"/>
    <w:rsid w:val="00ED3BA5"/>
    <w:rsid w:val="00EE0BF9"/>
    <w:rsid w:val="00EF152B"/>
    <w:rsid w:val="00EF6C7B"/>
    <w:rsid w:val="00F06F65"/>
    <w:rsid w:val="00F07230"/>
    <w:rsid w:val="00F10262"/>
    <w:rsid w:val="00F12D11"/>
    <w:rsid w:val="00F15B6B"/>
    <w:rsid w:val="00F16380"/>
    <w:rsid w:val="00F16BB5"/>
    <w:rsid w:val="00F17699"/>
    <w:rsid w:val="00F2307B"/>
    <w:rsid w:val="00F27B05"/>
    <w:rsid w:val="00F30C3C"/>
    <w:rsid w:val="00F32198"/>
    <w:rsid w:val="00F37831"/>
    <w:rsid w:val="00F37C35"/>
    <w:rsid w:val="00F42CB5"/>
    <w:rsid w:val="00F46092"/>
    <w:rsid w:val="00F500F1"/>
    <w:rsid w:val="00F5408A"/>
    <w:rsid w:val="00F55A82"/>
    <w:rsid w:val="00F56F92"/>
    <w:rsid w:val="00F65A9E"/>
    <w:rsid w:val="00F73B8C"/>
    <w:rsid w:val="00F76154"/>
    <w:rsid w:val="00F81956"/>
    <w:rsid w:val="00F833BC"/>
    <w:rsid w:val="00F8622B"/>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D023E"/>
    <w:rsid w:val="00FD44C0"/>
    <w:rsid w:val="00FD53C0"/>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7A5D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3116991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admin.luatminhkhue.vn/luat-vien-chuc-so-58-2010-qh12.aspx" TargetMode="External"/><Relationship Id="rId8" Type="http://schemas.openxmlformats.org/officeDocument/2006/relationships/hyperlink" Target="https://admin.luatminhkhue.vn/luat-giao-duc-sua-doi.aspx" TargetMode="External"/><Relationship Id="rId9" Type="http://schemas.openxmlformats.org/officeDocument/2006/relationships/hyperlink" Target="https://admin.luatminhkhue.vn/nghi-dinh-69-2017-nd-cp-chuc-nang-nhiem-vu-quyen-han-co-cau-to-chuc-bo-giao-duc-va-dao-tao.aspx" TargetMode="External"/><Relationship Id="rId10" Type="http://schemas.openxmlformats.org/officeDocument/2006/relationships/hyperlink" Target="https://admin.luatminhkhue.vn/nghi-dinh-115-2020-nd-cp-tuyen-dung-su-dung-quan-ly-vien-chu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3153</Words>
  <Characters>17975</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257</cp:revision>
  <dcterms:created xsi:type="dcterms:W3CDTF">2015-09-25T00:33:00Z</dcterms:created>
  <dcterms:modified xsi:type="dcterms:W3CDTF">2022-06-15T17:37:00Z</dcterms:modified>
</cp:coreProperties>
</file>