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50"/>
        <w:gridCol w:w="5363"/>
      </w:tblGrid>
      <w:tr w:rsidR="008B6233" w14:paraId="48D8745E" w14:textId="77777777" w:rsidTr="008B623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3C788" w14:textId="77777777" w:rsidR="008B6233" w:rsidRDefault="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AA929" w14:textId="77777777" w:rsidR="008B6233" w:rsidRDefault="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B6233" w14:paraId="1EBA052E" w14:textId="77777777" w:rsidTr="008B623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1856" w14:textId="77777777" w:rsidR="008B6233" w:rsidRDefault="008B62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05/2014/TT-NHNN</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5B14" w14:textId="77777777" w:rsidR="008B6233" w:rsidRDefault="008B623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3 năm 2014</w:t>
            </w:r>
          </w:p>
        </w:tc>
      </w:tr>
    </w:tbl>
    <w:p w14:paraId="61657360" w14:textId="77777777" w:rsidR="008B6233" w:rsidRDefault="008B6233" w:rsidP="008B6233">
      <w:pPr>
        <w:pStyle w:val="NormalWeb"/>
        <w:spacing w:after="90" w:afterAutospacing="0" w:line="345" w:lineRule="atLeast"/>
        <w:jc w:val="center"/>
        <w:rPr>
          <w:rFonts w:ascii="Arial" w:hAnsi="Arial" w:cs="Arial"/>
          <w:color w:val="000000"/>
          <w:sz w:val="21"/>
          <w:szCs w:val="21"/>
        </w:rPr>
      </w:pPr>
      <w:bookmarkStart w:id="0" w:name="_GoBack"/>
      <w:bookmarkEnd w:id="0"/>
    </w:p>
    <w:p w14:paraId="0C081686"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D54D4B1"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VIỆC MỞ VÀ SỬ DỤNG TÀI KHOẢN VỐN ĐẦU TƯ GIÁN TIẾP ĐỂ THỰC HIỆN HOẠT ĐỘNG ĐẦU TƯ GIÁN TIẾP NƯỚC NGOÀI TẠI VIỆT NAM</w:t>
      </w:r>
    </w:p>
    <w:p w14:paraId="2A70651E"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34E3E91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hàng Nhà nước Việt Nam số </w:t>
      </w:r>
      <w:hyperlink r:id="rId8" w:tgtFrame="_blank" w:history="1">
        <w:r>
          <w:rPr>
            <w:rStyle w:val="Hyperlink"/>
            <w:rFonts w:ascii="Arial" w:hAnsi="Arial" w:cs="Arial"/>
            <w:i/>
            <w:iCs/>
            <w:color w:val="135ECD"/>
            <w:sz w:val="21"/>
            <w:szCs w:val="21"/>
          </w:rPr>
          <w:t>46/2010/QH12 </w:t>
        </w:r>
      </w:hyperlink>
      <w:r>
        <w:rPr>
          <w:rStyle w:val="Emphasis"/>
          <w:rFonts w:ascii="Arial" w:hAnsi="Arial" w:cs="Arial"/>
          <w:color w:val="000000"/>
          <w:sz w:val="21"/>
          <w:szCs w:val="21"/>
        </w:rPr>
        <w:t>ngày 16 tháng 6 năm 2010;</w:t>
      </w:r>
    </w:p>
    <w:p w14:paraId="267121B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các tổ chức tín dụng số </w:t>
      </w:r>
      <w:hyperlink r:id="rId9" w:tgtFrame="_blank" w:history="1">
        <w:r>
          <w:rPr>
            <w:rStyle w:val="Hyperlink"/>
            <w:rFonts w:ascii="Arial" w:hAnsi="Arial" w:cs="Arial"/>
            <w:i/>
            <w:iCs/>
            <w:color w:val="135ECD"/>
            <w:sz w:val="21"/>
            <w:szCs w:val="21"/>
          </w:rPr>
          <w:t>47/2010/QH12 </w:t>
        </w:r>
      </w:hyperlink>
      <w:r>
        <w:rPr>
          <w:rStyle w:val="Emphasis"/>
          <w:rFonts w:ascii="Arial" w:hAnsi="Arial" w:cs="Arial"/>
          <w:color w:val="000000"/>
          <w:sz w:val="21"/>
          <w:szCs w:val="21"/>
        </w:rPr>
        <w:t>ngày 16 tháng 6 năm 2010;</w:t>
      </w:r>
    </w:p>
    <w:p w14:paraId="5D2762F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số </w:t>
      </w:r>
      <w:hyperlink r:id="rId10" w:tgtFrame="_blank" w:history="1">
        <w:r>
          <w:rPr>
            <w:rStyle w:val="Hyperlink"/>
            <w:rFonts w:ascii="Arial" w:hAnsi="Arial" w:cs="Arial"/>
            <w:i/>
            <w:iCs/>
            <w:color w:val="135ECD"/>
            <w:sz w:val="21"/>
            <w:szCs w:val="21"/>
          </w:rPr>
          <w:t>59/2005/QH11 </w:t>
        </w:r>
      </w:hyperlink>
      <w:r>
        <w:rPr>
          <w:rStyle w:val="Emphasis"/>
          <w:rFonts w:ascii="Arial" w:hAnsi="Arial" w:cs="Arial"/>
          <w:color w:val="000000"/>
          <w:sz w:val="21"/>
          <w:szCs w:val="21"/>
        </w:rPr>
        <w:t>ngày 29 tháng 11 năm 2005;</w:t>
      </w:r>
    </w:p>
    <w:p w14:paraId="4B0B7BE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Chứng khoán số </w:t>
      </w:r>
      <w:hyperlink r:id="rId11" w:tgtFrame="_blank" w:history="1">
        <w:r>
          <w:rPr>
            <w:rStyle w:val="Hyperlink"/>
            <w:rFonts w:ascii="Arial" w:hAnsi="Arial" w:cs="Arial"/>
            <w:i/>
            <w:iCs/>
            <w:color w:val="135ECD"/>
            <w:sz w:val="21"/>
            <w:szCs w:val="21"/>
          </w:rPr>
          <w:t>70/2006/QH11 </w:t>
        </w:r>
      </w:hyperlink>
      <w:r>
        <w:rPr>
          <w:rStyle w:val="Emphasis"/>
          <w:rFonts w:ascii="Arial" w:hAnsi="Arial" w:cs="Arial"/>
          <w:color w:val="000000"/>
          <w:sz w:val="21"/>
          <w:szCs w:val="21"/>
        </w:rPr>
        <w:t>ngày 29 tháng 6 năm 2006;</w:t>
      </w:r>
    </w:p>
    <w:p w14:paraId="129C801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Chứng khoán số </w:t>
      </w:r>
      <w:hyperlink r:id="rId12" w:tgtFrame="_blank" w:history="1">
        <w:r>
          <w:rPr>
            <w:rStyle w:val="Hyperlink"/>
            <w:rFonts w:ascii="Arial" w:hAnsi="Arial" w:cs="Arial"/>
            <w:i/>
            <w:iCs/>
            <w:color w:val="135ECD"/>
            <w:sz w:val="21"/>
            <w:szCs w:val="21"/>
          </w:rPr>
          <w:t>62/2010/QH12 </w:t>
        </w:r>
      </w:hyperlink>
      <w:r>
        <w:rPr>
          <w:rStyle w:val="Emphasis"/>
          <w:rFonts w:ascii="Arial" w:hAnsi="Arial" w:cs="Arial"/>
          <w:color w:val="000000"/>
          <w:sz w:val="21"/>
          <w:szCs w:val="21"/>
        </w:rPr>
        <w:t>ngày 24 tháng 11 năm 2010;</w:t>
      </w:r>
    </w:p>
    <w:p w14:paraId="18EBD1C6"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Ngoại hối số </w:t>
      </w:r>
      <w:hyperlink r:id="rId13" w:tgtFrame="_blank" w:history="1">
        <w:r>
          <w:rPr>
            <w:rStyle w:val="Hyperlink"/>
            <w:rFonts w:ascii="Arial" w:hAnsi="Arial" w:cs="Arial"/>
            <w:i/>
            <w:iCs/>
            <w:color w:val="135ECD"/>
            <w:sz w:val="21"/>
            <w:szCs w:val="21"/>
          </w:rPr>
          <w:t>28/2005/PL-UBTVQH11 </w:t>
        </w:r>
      </w:hyperlink>
      <w:r>
        <w:rPr>
          <w:rStyle w:val="Emphasis"/>
          <w:rFonts w:ascii="Arial" w:hAnsi="Arial" w:cs="Arial"/>
          <w:color w:val="000000"/>
          <w:sz w:val="21"/>
          <w:szCs w:val="21"/>
        </w:rPr>
        <w:t>ngày 13 tháng 12 năm 2005;</w:t>
      </w:r>
    </w:p>
    <w:p w14:paraId="29DB485C"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số </w:t>
      </w:r>
      <w:hyperlink r:id="rId14" w:tgtFrame="_blank" w:history="1">
        <w:r>
          <w:rPr>
            <w:rStyle w:val="Hyperlink"/>
            <w:rFonts w:ascii="Arial" w:hAnsi="Arial" w:cs="Arial"/>
            <w:i/>
            <w:iCs/>
            <w:color w:val="135ECD"/>
            <w:sz w:val="21"/>
            <w:szCs w:val="21"/>
          </w:rPr>
          <w:t>06/2013/PL-UBTVQH113 </w:t>
        </w:r>
      </w:hyperlink>
      <w:r>
        <w:rPr>
          <w:rStyle w:val="Emphasis"/>
          <w:rFonts w:ascii="Arial" w:hAnsi="Arial" w:cs="Arial"/>
          <w:color w:val="000000"/>
          <w:sz w:val="21"/>
          <w:szCs w:val="21"/>
        </w:rPr>
        <w:t>ngày 18 tháng 3 năm 2013 sửa đổi, bổ sung một số điều của Pháp lệnh Ngoại hối;</w:t>
      </w:r>
    </w:p>
    <w:p w14:paraId="5C73CA6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tgtFrame="_blank" w:history="1">
        <w:r>
          <w:rPr>
            <w:rStyle w:val="Hyperlink"/>
            <w:rFonts w:ascii="Arial" w:hAnsi="Arial" w:cs="Arial"/>
            <w:i/>
            <w:iCs/>
            <w:color w:val="135ECD"/>
            <w:sz w:val="21"/>
            <w:szCs w:val="21"/>
          </w:rPr>
          <w:t>156/2013/NĐ-CP </w:t>
        </w:r>
      </w:hyperlink>
      <w:r>
        <w:rPr>
          <w:rStyle w:val="Emphasis"/>
          <w:rFonts w:ascii="Arial" w:hAnsi="Arial" w:cs="Arial"/>
          <w:color w:val="000000"/>
          <w:sz w:val="21"/>
          <w:szCs w:val="21"/>
        </w:rPr>
        <w:t>ngày 11 tháng 11 năm 2013 của Chính phủ quy định chức năng, nhiệm vụ, quyền hạn và cơ cấu tổ chức của Ngân hàng Nhà nước Việt Nam (sau đây gọi là Ngân hàng Nhà nước);</w:t>
      </w:r>
    </w:p>
    <w:p w14:paraId="6129FC6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Quản lý ngoại hối,</w:t>
      </w:r>
    </w:p>
    <w:p w14:paraId="22C60EA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ban hành Thông tư hướng dẫn việc mở và sử dụng tài khoản vốn đầu tư gián tiếp để thực hiện hoạt động đầu tư gián tiếp nước ngoài tại Việt Nam.</w:t>
      </w:r>
    </w:p>
    <w:p w14:paraId="232E19AE"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3A9BF457"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BF97611"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C331016"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4DFD18BF"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 Phạm vi điều chỉnh</w:t>
      </w:r>
    </w:p>
    <w:p w14:paraId="01AB41DD"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mở và sử dụng tài khoản vốn đầu tư gián tiếp để thực hiện các giao dịch liên quan đến hoạt động đầu tư gián tiếp nước ngoài tại Việt Nam.</w:t>
      </w:r>
    </w:p>
    <w:p w14:paraId="220A7309"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05EBD925"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 Đối tượng áp dụng</w:t>
      </w:r>
    </w:p>
    <w:p w14:paraId="43F625C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với các đối tượng sau:</w:t>
      </w:r>
    </w:p>
    <w:p w14:paraId="5513114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nước ngoài là người không cư trú thực hiện hoạt động đầu tư gián tiếp tại Việt Nam;</w:t>
      </w:r>
    </w:p>
    <w:p w14:paraId="578A215D"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và cá nhân liên quan đến hoạt động đầu tư gián tiếp nước ngoài tại Việt Nam.</w:t>
      </w:r>
    </w:p>
    <w:p w14:paraId="692EC77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điều chỉnh đối với đối tượng nhà đầu tư nước ngoài là người cư trú là tổ chức và cá nhân nước ngoài. Các đối tượng này thực hiện hoạt động đầu tư gián tiếp tại Việt Nam theo quy định hiện hành về pháp luật chứng khoán và các văn bản quy phạm pháp luật khác có Iiên quan.</w:t>
      </w:r>
    </w:p>
    <w:p w14:paraId="42A65860"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02992D4D"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 Giải thích từ ngữ</w:t>
      </w:r>
    </w:p>
    <w:p w14:paraId="496B8EF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3E58186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6" w:history="1">
        <w:r>
          <w:rPr>
            <w:rStyle w:val="Hyperlink"/>
            <w:rFonts w:ascii="Arial" w:hAnsi="Arial" w:cs="Arial"/>
            <w:color w:val="135ECD"/>
            <w:sz w:val="21"/>
            <w:szCs w:val="21"/>
          </w:rPr>
          <w:t>Nhà đầu tư nước ngoài</w:t>
        </w:r>
      </w:hyperlink>
      <w:r>
        <w:rPr>
          <w:rFonts w:ascii="Arial" w:hAnsi="Arial" w:cs="Arial"/>
          <w:color w:val="000000"/>
          <w:sz w:val="21"/>
          <w:szCs w:val="21"/>
        </w:rPr>
        <w:t>” bao gồm đối tượng người không cư trú là tổ chức và cá nhân nước ngoài thực hiện hoạt động đầu tư gián tiếp tại Việt Nam.</w:t>
      </w:r>
    </w:p>
    <w:p w14:paraId="54AC4E1A"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được phép” bao gồm ngân hàng thương mại và chi nhánh ngân hàng nước ngoài được phép kinh doanh và hoạt động cung ứng dịch vụ ngoại hối theo quy định của pháp luật.</w:t>
      </w:r>
    </w:p>
    <w:p w14:paraId="713D27DD"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được phép” bao gồm tổ chức tín dụng và chi nhánh ngân hàng nước ngoài được phép kinh doanh và hoạt động cung ứng dịch vụ ngoại hối theo quy định của pháp luật.</w:t>
      </w:r>
    </w:p>
    <w:p w14:paraId="522F431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“Tài khoản vốn đầu tư gián tiếp” là tài khoản thanh toán bằng đồng Việt Nam do nhà đầu tư nước ngoài mở tại ngân hàng được phép để thực hiện các giao dịch thu chi được phép liên quan đến hoạt động đầu tư gián tiếp nước ngoài tại Việt Nam.</w:t>
      </w:r>
    </w:p>
    <w:p w14:paraId="7A2EBD39"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E1E200D"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 Nguyên tắc chung</w:t>
      </w:r>
    </w:p>
    <w:p w14:paraId="14C085B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hoạt động đầu tư gián tiếp của nhà đầu tư nước ngoài tại Việt Nam phải được thực hiện bằng đồng Việt Nam. Các giao dịch liên quan đến hoạt động đầu tư gián tiếp nước ngoài tại Việt Nam của nhà đầu tư nước ngoài phải được thực hiện thông qua 01 (một) tài khoản vốn đầu tư gián tiếp mở tại 01 (một) ngân hàng được phép.</w:t>
      </w:r>
    </w:p>
    <w:p w14:paraId="38D7769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hoạt động đầu tư gián tiếp nước ngoài tại Việt Nam dưới các hình thức quy định tại Điều 5 của Thông tư này, nhà đầu tư nước ngoài phải tuân thủ các quy định tại Thông tư này, các quy định của pháp luật về mở và sử dụng tài khoản thanh toán, quy định tại Luật Chứng khoán, các văn bản hướng dẫn Luật Chứng khoán, các quy định hiện hành của pháp Iuật liên quan đến hoạt động góp vốn, mua cổ phần của nhà đầu tư nước ngoài trong các doanh nghiệp Việt Nam và hoạt động của nhà đầu tư nước ngoài trên thị trường chứng khoán Việt Nam và các quy định khác có liên quan của pháp luật.</w:t>
      </w:r>
    </w:p>
    <w:p w14:paraId="3CEDF51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dư trên tài khoản vốn đầu tư gián tiếp của nhà đầu tư nước ngoài không được chuyển sang tiền gửi có kỳ hạn và tiền gửi tiết kiệm tại tổ chức tín dụng, chi nhánh ngân hàng nước ngoài.</w:t>
      </w:r>
    </w:p>
    <w:p w14:paraId="0FDF8870"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0D81DC73"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 Hình thức đầu tư gián tiếp nước ngoài tại Việt Nam</w:t>
      </w:r>
    </w:p>
    <w:p w14:paraId="49F2DE4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đầu tư gián tiếp tại Việt Nam của nhà đầu tư nước ngoài bao gồm các hình thức sau đây:</w:t>
      </w:r>
    </w:p>
    <w:p w14:paraId="0545191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vốn, mua, bán cổ phần, phần vốn góp trong doanh nghiệp Việt Nam chưa niêm yết, chưa đăng ký giao dịch trên thị trường chứng khoán Việt Nam và không trực tiếp tham gia quản lý, điều hành doanh nghiệp.</w:t>
      </w:r>
    </w:p>
    <w:p w14:paraId="46E13B89"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Góp vốn, mua, bán cổ phần trong doanh nghiệp Việt Nam trên thị trường đăng ký giao dịch (UPCOM) và thị trường chứng khoán niêm yết và không trực tiếp tham gia quản lý, điều hành doanh nghiệp.</w:t>
      </w:r>
    </w:p>
    <w:p w14:paraId="49B5D3F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bán trái phiếu và các loại chứng khoán khác trên thị trường chứng khoán Việt Nam.</w:t>
      </w:r>
    </w:p>
    <w:p w14:paraId="5F921C86"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Mua bán các giấy tờ có giá khác bằng đồng Việt Nam do người cư trú là tổ chức được phép phát hành trên lãnh thổ Việt Nam.</w:t>
      </w:r>
    </w:p>
    <w:p w14:paraId="035D2071"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thác đầu tư bằng đồng Việt Nam thông qua công ty quản lý quỹ, công ty chứng khoán và các tổ chức được phép thực hiện nghiệp vụ ủy thác đầu tư theo các quy định của pháp luật về chứng khoán; ủy thác đầu tư bằng đồng Việt Nam thông qua tổ chức tín dụng và chi nhánh ngân hàng nước ngoài được phép thực hiện nghiệp vụ ủy thác đầu tư theo quy định của Ngân hàng Nhà nước.</w:t>
      </w:r>
    </w:p>
    <w:p w14:paraId="26B247C6"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Góp vốn, chuyển nhượng vốn góp của nhà đầu tư nước ngoài (không trực tiếp tham gia quản lý) trong các quỹ đầu tư chứng khoán và công ty quản lý quỹ theo quy định của pháp luật về chứng khoán.</w:t>
      </w:r>
    </w:p>
    <w:p w14:paraId="20783DAA"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hình thức đầu tư gián tiếp khác theo quy định của pháp luật.</w:t>
      </w:r>
    </w:p>
    <w:p w14:paraId="3FE26837"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BC4EE6E"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CFBD3BD"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THẾ</w:t>
      </w:r>
    </w:p>
    <w:p w14:paraId="63F6FB82"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151BA231"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 Mở tài khoản vốn đầu tư gián tiếp</w:t>
      </w:r>
    </w:p>
    <w:p w14:paraId="6029DDD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hoạt động đầu tư gián tiếp tại Việt Nam, nhà đầu tư nước ngoài phải mở một (01) tài khoản vốn đầu tư gián tiếp tại một (01) ngân hàng được phép để thực hiện các giao dịch thu chi được phép theo quy định tại Điều 7 của Thông tư này.</w:t>
      </w:r>
    </w:p>
    <w:p w14:paraId="4131134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nước ngoài đang mở và sử dụng tài khoản vốn đầu tư gián tiếp tại một ngân hàng được phép nhưng có nhu cầu mở tài khoản vốn đầu tư gián tiếp tại một ngân hàng được phép khác, nhà đầu tư nước ngoài phải đóng tài khoản vốn đầu tư gián tiếp đã mở, chuyển toàn bộ số dư trên tài khoản này sang tài khoản mới. Thủ tục mở, đóng tài khoản vốn đầu tư gián tiếp được thực hiện theo quy định của ngân hàng được phép.</w:t>
      </w:r>
    </w:p>
    <w:p w14:paraId="12BD097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nước ngoài chỉ được thực hiện các giao dịch thu chi trên tài khoản vốn đầu tư gián tiếp mới mở theo quy định nêu trên sau khi đã đóng và tất toán tài khoản vốn đầu tư gián tiếp đã mở trước đây.</w:t>
      </w:r>
    </w:p>
    <w:p w14:paraId="792029E9"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1F4C521"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7. Sử dụng tài khoản vốn đầu tư gián tiếp</w:t>
      </w:r>
    </w:p>
    <w:p w14:paraId="063B7C0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vốn đầu tư gián tiếp được sử dụng để thực hiện các giao dịch thu chi liên quan đến hoạt động đầu tư gián tiếp nước ngoài tại Việt Nam sau đây:</w:t>
      </w:r>
    </w:p>
    <w:p w14:paraId="3310CCE4"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thu:</w:t>
      </w:r>
    </w:p>
    <w:p w14:paraId="269105D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từ bán ngoại tệ cho tổ chức tín dụng được phép;</w:t>
      </w:r>
    </w:p>
    <w:p w14:paraId="249A001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từ chuyển nhượng vốn góp, cổ phần, bán chứng khoán và các giấy tờ có giá khác, nhận cổ tức, lãi từ trái phiếu và giấy tờ có giá phát sinh bằng đồng Việt Nam từ hoạt động đầu tư gián tiếp nước ngoài tại Việt Nam;</w:t>
      </w:r>
    </w:p>
    <w:p w14:paraId="43025D47"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chuyển khoản từ tài khoản thanh toán bằng đồng Việt Nam của nhà đầu tư nước ngoài mở tại ngân hàng được phép;</w:t>
      </w:r>
    </w:p>
    <w:p w14:paraId="4CC14E59"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chuyển khoản từ tài khoản của công ty quản lý quỹ, công ty chứng khoán, tổ chức tín dụng và chi nhánh ngân hàng nước ngoài được phép thực hiện nghiệp vụ ủy thác đầu tư cho nhà đầu tư nước ngoài (áp dụng trong trường hợp nhà đầu tư nước ngoài thực hiện đầu tư gián tiếp tại Việt Nam dưới hình thức ủy thác đầu tư);</w:t>
      </w:r>
    </w:p>
    <w:p w14:paraId="2EE79934"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giao dịch thu hợp pháp khác bằng đồng Việt Nam của nhà đầu tư nước ngoài liên quan đến hoạt động đầu tư gián tiếp nước ngoài tại Việt Nam.</w:t>
      </w:r>
    </w:p>
    <w:p w14:paraId="05ED36D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chi:</w:t>
      </w:r>
    </w:p>
    <w:p w14:paraId="785C71A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thực hiện hoạt động đầu tư gián tiếp nước ngoài tại Việt Nam dưới các hình thức quy định tại Điều 5 của Thông tư này;</w:t>
      </w:r>
    </w:p>
    <w:p w14:paraId="0D80CDF7"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mua ngoại tệ tại tổ chức tín dụng được phép để chuyển vốn, lợi nhuận và các nguồn thu hợp pháp ra nước ngoài;</w:t>
      </w:r>
    </w:p>
    <w:p w14:paraId="216A3C7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thanh toán các chi phí hợp pháp phát sinh tại Việt Nam;</w:t>
      </w:r>
    </w:p>
    <w:p w14:paraId="039F9DB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chuyển sang tài khoản thanh toán bằng đồng Việt Nam của nhà đầu tư nước ngoài mở tại ngân hàng được phép;</w:t>
      </w:r>
    </w:p>
    <w:p w14:paraId="1D725D8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Chi chuyển khoản sang tài khoản của các công ty quản lý quỹ, công ty chứng khoán và các tổ chức được phép thực hiện nghiệp vụ ủy thác đầu tư cho nhà đầu tư nước ngoài (áp dụng trong </w:t>
      </w:r>
      <w:r>
        <w:rPr>
          <w:rFonts w:ascii="Arial" w:hAnsi="Arial" w:cs="Arial"/>
          <w:color w:val="000000"/>
          <w:sz w:val="21"/>
          <w:szCs w:val="21"/>
        </w:rPr>
        <w:lastRenderedPageBreak/>
        <w:t>trường hợp nhà đầu tư nước ngoài thực hiện đầu tư gián tiếp tại Việt Nam dưới hình thức ủy thác đầu tư);</w:t>
      </w:r>
    </w:p>
    <w:p w14:paraId="477BF5E4"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giao dịch chi hợp pháp khác liên quan đến hoạt động đầu tư gián tiếp nước ngoài tại Việt Nam.</w:t>
      </w:r>
    </w:p>
    <w:p w14:paraId="7994F57B"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29A5EBA"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 Chuyển vốn đầu tư ra nước ngoài</w:t>
      </w:r>
    </w:p>
    <w:p w14:paraId="5730E6E7"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nhu cầu chuyển vốn, lợi nhuận và các nguồn thu hợp pháp khác từ hoạt động đầu tư gián tiếp ra nước ngoài, nhà đầu tư nước ngoài được sử dụng đồng Việt Nam trên tài khoản vốn đầu tư gián tiếp để mua ngoại tệ tại tổ chức tín dụng được phép và chuyển ra nước ngoài.</w:t>
      </w:r>
    </w:p>
    <w:p w14:paraId="0A1703E3"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2FFCD862"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 Chuyển đổi hình thức đầu tư của nhà đầu tư nước ngoài</w:t>
      </w:r>
    </w:p>
    <w:p w14:paraId="1205F4E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đổi từ hình thức đầu tư gián tiếp sang hình thức đầu tư trực tiếp hoặc chuyển đổi từ hình thức đầu tư trực tiếp sang hình thức đầu tư gián tiếp của nhà đầu tư nước ngoài được thực hiện theo quy định hiện hành của pháp luật về đầu tư và các quy định khác của pháp luật có liên quan.</w:t>
      </w:r>
    </w:p>
    <w:p w14:paraId="0992135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nước ngoài đang thực hiện đầu tư gián tiếp tại Việt Nam dưới hình thức mua cổ phần hoặc góp vốn trong doanh nghiệp Việt Nam chuyển đổi sang hình thức đầu tư trực tiếp (tham gia quản lý, điều hành doanh nghiệp), việc chuyển đổi tài khoản được thực hiện như sau:</w:t>
      </w:r>
    </w:p>
    <w:p w14:paraId="43FC07D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nhà đầu tư nước ngoài không tiếp tục thực hiện hoạt động đầu tư gián tiếp tại Việt Nam, sau khi hoàn tất thủ tục chuyển đổi hình thức đầu tư theo các quy định hiện hành của pháp luật, nhà đầu tư nước ngoài thực hiện mở tài khoản vốn đầu tư trực tiếp bằng đồng Việt Nam tại ngân hàng được phép, sau đó đóng tài khoản vốn đầu tư gián tiếp đã mở trước đây đồng thời chuyển số dư trên tài khoản này sang tài khoản vốn đầu tư trực tiếp bằng đồng Việt Nam mới mở nêu trên để thực hiện hoạt động đầu tư trực tiếp tại Việt Nam theo các quy định hiện hành về quản lý ngoại hối và các quy định khác của pháp luật có liên quan. Thủ tục đóng tài khoản vốn đầu tư gián tiếp và thủ tục mở tài khoản vốn đầu tư trực tiếp bằng đồng Việt Nam được thực hiện theo quy định của ngân hàng được phép;</w:t>
      </w:r>
    </w:p>
    <w:p w14:paraId="36C638F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tiếp tục thực hiện hoạt động đầu tư gián tiếp tại Việt Nam, nhà đầu tư nước ngoài được sử dụng tài khoản vốn đầu tư gián tiếp đã mở trước đây để thực hiện hoạt động đầu tư gián tiếp tại Việt Nam trên cơ sở tuân thủ quy định tại Thông tư này và các quy định khác của pháp luật </w:t>
      </w:r>
      <w:r>
        <w:rPr>
          <w:rFonts w:ascii="Arial" w:hAnsi="Arial" w:cs="Arial"/>
          <w:color w:val="000000"/>
          <w:sz w:val="21"/>
          <w:szCs w:val="21"/>
        </w:rPr>
        <w:lastRenderedPageBreak/>
        <w:t>có liên quan. Đồng thời, nhà đầu tư nước ngoài thực hiện việc mở và sử dụng tài khoản vốn đầu tư trực tiếp để thực hiện hoạt động đầu tư trực tiếp nước ngoài tại Việt Nam theo quy định hiện hành về quản lý ngoại hối đối với hoạt động đầu tư trực tiếp nước ngoài tại Việt Nam và các quy định khác của pháp luật có liên quan.</w:t>
      </w:r>
    </w:p>
    <w:p w14:paraId="6D837454"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712A13E"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0C0A290"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NGHĨA VỤ CỦA TỔ CHỨC TÍN DỤNG ĐƯỢC PHÉP VÀ NHÀ ĐẦU TƯ NƯỚC NGOÀI</w:t>
      </w:r>
    </w:p>
    <w:p w14:paraId="09293C64"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0DFE8626"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 Quyền, nghĩa vụ của tổ chức tín dụng được phép</w:t>
      </w:r>
    </w:p>
    <w:p w14:paraId="786D0DA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các giao dịch thu chi trên tài khoản vốn đầu tư gián tiếp cho nhà đầu tư nước ngoài, tổ chức tín dụng được phép có quyền yêu cầu nhà đầu tư nước ngoài xuất trình các tài liệu, chứng từ liên quan đến hoạt động đầu tư gián tiếp nước ngoài tại Việt Nam.</w:t>
      </w:r>
    </w:p>
    <w:p w14:paraId="0AB1EC8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các giao dịch thu chi trên tài khoản vốn đầu tư gián tiếp cho nhà đầu tư nước ngoài, tổ chức tín dụng được phép có trách nhiệm:</w:t>
      </w:r>
    </w:p>
    <w:p w14:paraId="66CBD2A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nhà đầu tư nước ngoài thực hiện các thủ tục mở, đóng tài khoản vốn đầu tư gián tiếp và các quy định tại Thông tư này;</w:t>
      </w:r>
    </w:p>
    <w:p w14:paraId="345E3CAC"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kiểm tra và lưu giữ các tài liệu, chứng từ liên quan đến các giao dịch thu, chi được thực hiện trên tài khoản vốn đầu tư gián tiếp do nhà đầu tư nước ngoài xuất trình để đảm bảo việc cung ứng dịch vụ ngoại hối được thực hiện đúng mục đích và phù hợp với quy định của pháp luật;</w:t>
      </w:r>
    </w:p>
    <w:p w14:paraId="1E4A55B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ngoại tệ cho nhà đầu tư nước ngoài trên cơ sở tự cân đối nguồn ngoại tệ của tổ chức tín dụng.</w:t>
      </w:r>
    </w:p>
    <w:p w14:paraId="24C664E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quyền và nghĩa vụ quy định tại khoản 1, khoản 2 Điều này, ngân hàng được phép có trách nhiệm hướng dẫn nhà đầu tư nước ngoài thực hiện việc chuyển đổi tài khoản vốn đầu tư gián tiếp theo quy định tại Điều 17 Thông tư này.</w:t>
      </w:r>
    </w:p>
    <w:p w14:paraId="6A18F60F"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5AA493FC"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 Quyền, nghĩa vụ của nhà đầu tư nước ngoài</w:t>
      </w:r>
    </w:p>
    <w:p w14:paraId="76CE120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nước ngoài được phép thực hiện hoạt động đầu tư gián tiếp nước ngoài tại Việt Nam trên cơ sở tuân thủ các quy định tại Thông tư này và các quy định khác có liên quan của pháp luật Việt Nam.</w:t>
      </w:r>
    </w:p>
    <w:p w14:paraId="5A964419"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các giao dịch thu chi trên tài khoản vốn đầu tư gián tiếp, nhà đầu tư nước ngoài có trách nhiệm:</w:t>
      </w:r>
    </w:p>
    <w:p w14:paraId="51BF5DB4"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nội dung giao dịch thu chi liên quan đến hoạt động đầu tư gián tiếp nước ngoài tại Việt Nam theo yêu cầu và hướng dẫn của ngân hàng được phép;</w:t>
      </w:r>
    </w:p>
    <w:p w14:paraId="357AAE70"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trình, bổ sung các hồ sơ, tài liệu, chứng từ theo yêu cầu của ngân hàng được phép.</w:t>
      </w:r>
    </w:p>
    <w:p w14:paraId="3E82D5AE"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3C4C49A1"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5B18206"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BÁO CÁO</w:t>
      </w:r>
    </w:p>
    <w:p w14:paraId="15D60689"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4EC56DE4"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 Chế độ báo cáo đối với tổ chức tín dụng được phép</w:t>
      </w:r>
    </w:p>
    <w:p w14:paraId="07159F8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tín dụng được phép thực hiện báo cáo Ngân hàng Nhà nước theo quy định hiện hành của Ngân hàng Nhà nước về chế độ báo cáo thống kê.</w:t>
      </w:r>
    </w:p>
    <w:p w14:paraId="6396578F"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19A9EE68"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 Yêu cầu báo cáo đột xuất</w:t>
      </w:r>
    </w:p>
    <w:p w14:paraId="272BBD0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đột xuất hoặc khi cần thiết, nhà đầu tư nước ngoài, tổ chức tín dụng được phép và Ngân hàng Nhà nước chi nhánh tỉnh, thành phố trực thuộc Trung ương thực hiện báo cáo các nội dung liên quan theo yêu cầu của Ngân hàng Nhà nước.</w:t>
      </w:r>
    </w:p>
    <w:p w14:paraId="53FEDC87"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735F08F9"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FE821CF"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TÁC KIỂM TRA, THANH TRA, GIÁM SÁT, XỬ LÝ VI PHẠM</w:t>
      </w:r>
    </w:p>
    <w:p w14:paraId="2765C4AA"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063665A8"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 Công tác kiểm tra, thanh tra, giám sát</w:t>
      </w:r>
    </w:p>
    <w:p w14:paraId="6FE6A4D6"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hàng Nhà nước, Ngân hàng Nhà nước chi nhánh tỉnh, thành phố trực thuộc Trung ương thực hiện kiểm tra, thanh tra, giám sát tình hình chấp hành quy định của ngân hàng được phép và nhà đầu tư nước ngoài liên quan đến việc mở và sử dụng tài khoản vốn đầu tư gián tiếp của nhà đầu tư nước ngoài để thực hiện hoạt động đầu tư gián tiếp nước ngoài vào Việt Nam.</w:t>
      </w:r>
    </w:p>
    <w:p w14:paraId="7E4E9887"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được kiểm tra có trách nhiệm cung cấp mọi văn bản tài liệu cần thiết theo quy định để việc kiểm tra, thanh tra, giám sát được thực hiện kịp thời, hiệu quả.</w:t>
      </w:r>
    </w:p>
    <w:p w14:paraId="283E7DBD"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006A7788"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 Xử lý vi phạm</w:t>
      </w:r>
    </w:p>
    <w:p w14:paraId="0F7854E8"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 phạm các quy định tại Thông tư này, tùy theo mức độ vi phạm, nhà đầu tư nước ngoài và ngân hàng được phép sẽ bị xử phạt theo các quy định của pháp luật.</w:t>
      </w:r>
    </w:p>
    <w:p w14:paraId="165DFA1D"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E50E17F" w14:textId="77777777" w:rsidR="008B6233" w:rsidRDefault="008B6233" w:rsidP="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FE794BF" w14:textId="77777777" w:rsidR="008B6233" w:rsidRDefault="008B6233" w:rsidP="008B6233">
      <w:pPr>
        <w:pStyle w:val="NormalWeb"/>
        <w:spacing w:after="90" w:afterAutospacing="0" w:line="345" w:lineRule="atLeast"/>
        <w:jc w:val="center"/>
        <w:rPr>
          <w:rFonts w:ascii="Arial" w:hAnsi="Arial" w:cs="Arial"/>
          <w:color w:val="000000"/>
          <w:sz w:val="21"/>
          <w:szCs w:val="21"/>
        </w:rPr>
      </w:pPr>
    </w:p>
    <w:p w14:paraId="22425026" w14:textId="77777777" w:rsidR="008B6233" w:rsidRDefault="008B6233" w:rsidP="008B6233">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Điều 16. Hiệu lực thi hành</w:t>
      </w:r>
    </w:p>
    <w:p w14:paraId="65097B1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28 tháng 4 năm 2014.</w:t>
      </w:r>
    </w:p>
    <w:p w14:paraId="37C552B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7" w:tgtFrame="_blank" w:history="1">
        <w:r>
          <w:rPr>
            <w:rStyle w:val="Hyperlink"/>
            <w:rFonts w:ascii="Arial" w:hAnsi="Arial" w:cs="Arial"/>
            <w:color w:val="135ECD"/>
            <w:sz w:val="21"/>
            <w:szCs w:val="21"/>
          </w:rPr>
          <w:t>03/2004/TT-NHNN </w:t>
        </w:r>
      </w:hyperlink>
      <w:r>
        <w:rPr>
          <w:rFonts w:ascii="Arial" w:hAnsi="Arial" w:cs="Arial"/>
          <w:color w:val="000000"/>
          <w:sz w:val="21"/>
          <w:szCs w:val="21"/>
        </w:rPr>
        <w:t>ngày 25/5/2004 của Ngân hàng Nhà nước hướng dẫn về quản lý ngoại hối đối với việc góp vốn mua cổ phần của nhà đầu tư nước ngoài trong các doanh nghiệp Việt Nam.</w:t>
      </w:r>
    </w:p>
    <w:p w14:paraId="28040DE1"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3E9535D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khoản chuyển tiếp</w:t>
      </w:r>
    </w:p>
    <w:p w14:paraId="7D3EA542"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vòng 90 ngày kể từ ngày Thông tư này có hiệu lực thi hành, nhà đầu tư nước ngoài có trách nhiệm thực hiện việc chuyển đổi tài khoản vốn đầu tư gián tiếp để tiếp tục thực hiện hoạt động đầu tư gián tiếp tại Việt Nam theo quy định sau:</w:t>
      </w:r>
    </w:p>
    <w:p w14:paraId="6756CB5C"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nhà đầu tư nước ngoài đã mở tài khoản góp vốn, mua cổ phần bằng đồng Việt Nam, nhà đầu tư nước ngoài thực hiện chuyển đổi tên tài khoản góp vốn, mua cổ phần bằng đồng Việt Nam nêu trên thành tài khoản vốn đầu tư gián tiếp;</w:t>
      </w:r>
    </w:p>
    <w:p w14:paraId="07C48854"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nhà đầu tư nước ngoài đã mở tài khoản góp vốn, mua cổ phần bằng đồng Việt Nam, đồng thời có số dư đồng Việt Nam trên tài khoản tiền gửi chuyên dùng không kỳ hạn bằng đồng Việt Nam của công ty chứng khoán mở tại ngân hàng được phép:</w:t>
      </w:r>
    </w:p>
    <w:p w14:paraId="19AEB451"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chuyển đổi tên tài khoản góp vốn, mua cổ phần bằng đồng Việt Nam nêu trên thành tài khoản vốn đầu tư gián tiếp;</w:t>
      </w:r>
    </w:p>
    <w:p w14:paraId="5E484AE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chuyển số dư đồng Việt Nam của mình trên tài khoản tiền gửi chuyên dùng không kỳ hạn bằng đồng Việt Nam của công ty chứng khoán mở tại ngân hàng được phép sang tài khoản vốn đầu tư gián tiếp mở tại ngân hàng được phép;</w:t>
      </w:r>
    </w:p>
    <w:p w14:paraId="166FA5EB"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đầu tư nước ngoài chưa mở tài khoản góp vốn, mua cổ phần bằng đồng Việt Nam và có số dư tiền đồng Việt Nam gửi tại tài khoản tiền gửi chuyên dùng không kỳ hạn bằng đồng Việt Nam của công ty chứng khoán mở tại ngân hàng được phép:</w:t>
      </w:r>
    </w:p>
    <w:p w14:paraId="543CDBD9"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mở tài khoản vốn đầu tư gián tiếp tại một ngân hàng được phép;</w:t>
      </w:r>
    </w:p>
    <w:p w14:paraId="3DCAE581"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chuyển số dư đồng Việt Nam của mình trên tài khoản tiền gửi chuyên dùng không kỳ hạn bằng đồng Việt Nam của công ty chứng khoán mở tại ngân hàng được phép sang tài khoản vốn đầu tư gián tiếp đã mở nêu trên để tiếp tục thực hiện hoạt động đầu tư gián tiếp tại Việt Nam;</w:t>
      </w:r>
    </w:p>
    <w:p w14:paraId="2BD35F41"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nhà đầu tư nước ngoài đã mở tài khoản góp vốn, mua cổ phần bằng đồng Việt Nam, đồng thời có số dư tiền gửi ngoại tệ trên tài khoản tiền gửi chuyên dùng không kỳ hạn bằng ngoại tệ của công ty chứng khoán mở tại ngân hàng được phép:</w:t>
      </w:r>
    </w:p>
    <w:p w14:paraId="66FA0ED6"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chuyển đổi tên tài khoản góp vốn, mua cổ phần bằng đồng Việt Nam đã mở thành tài khoản vốn đầu tư gián tiếp;</w:t>
      </w:r>
    </w:p>
    <w:p w14:paraId="221819DC"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chuyển số dư tiền gửi ngoại tệ của mình trên tài khoản tiền gửi chuyên dùng không kỳ hạn bằng ngoại tệ của công ty chứng khoán mở tại ngân hàng được phép sang đồng Việt Nam; sau đó thực hiện chuyển số tiền đồng Việt Nam này sang tài khoản vốn đầu tư gián tiếp để tiếp tục thực hiện hoạt động đầu tư gián tiếp tại Việt Nam.</w:t>
      </w:r>
    </w:p>
    <w:p w14:paraId="11A4D8E7"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nhà đầu tư nước ngoài chưa mở tài khoản góp vốn, mua cổ phần bằng đồng Việt Nam, đồng thời có số dư tiền gửi ngoại tệ trên tài khoản tiền gửi chuyên dùng không kỳ hạn bằng ngoại tệ của công ty chứng khoán mở tại ngân hàng được phép:</w:t>
      </w:r>
    </w:p>
    <w:p w14:paraId="7C21D06F"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nước ngoài thực hiện mở tài khoản vốn đầu tư gián tiếp tại một ngân hàng được phép;</w:t>
      </w:r>
    </w:p>
    <w:p w14:paraId="38462D3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đầu tư nước ngoài thực hiện chuyển số dư tiền gửi ngoại tệ của mình trên tài khoản tiền gửi chuyên dùng không kỳ hạn bằng ngoại tệ của công ty chứng khoán mở tại ngân hàng được phép sang đồng Việt Nam; sau đó thực hiện chuyển số tiền đồng Việt Nam này sang tài khoản vốn đầu tư gián tiếp để tiếp tục thực hiện hoạt động đầu tư gián tiếp tại Việt Nam.</w:t>
      </w:r>
    </w:p>
    <w:p w14:paraId="77411FE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tiếp tục thực hiện hoạt động đầu tư gián tiếp tại Việt Nam:</w:t>
      </w:r>
    </w:p>
    <w:p w14:paraId="187185A3"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nước ngoài được phép chuyển số dư tiền gửi đồng Việt Nạm của mình trên tài khoản tiền gửi chuyên dùng không kỳ hạn bằng đồng Việt Nam của công ty chứng khoán mở tại ngân hàng được phép và số dư tiền gửi ngoại tệ của mình trên tài khoản tiền gửi chuyên dùng không kỳ hạn bằng ngoại tệ của công ty chứng khoán mở tại ngân hàng được phép sang tài khoản đồng Việt Nam hoặc tài khoản ngoại tệ của nhà đầu tư nước ngoài mà tại ngân hàng được phép để phục vụ mục đích hợp pháp tại Việt Nam theo quy định về quản lý ngoại hối và các quy định khác của pháp luật có liên quan hoặc chuyển ra nước ngoài;</w:t>
      </w:r>
    </w:p>
    <w:p w14:paraId="562071FD"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nước ngoài được sử dụng số dư đồng Việt Nam của mình trên tại khoản tiền gửi chuyên dùng không kỳ hạn bằng đồng Việt Nam của công ty chứng khoán mở tại ngân hàng được phép để mua ngoại tệ và chuyển ra nước ngoài trên cơ sở xuất trình hồ sơ, chứng từ hợp lệ phù hợp với quy định hiện hành về quản lý ngoại hối.</w:t>
      </w:r>
    </w:p>
    <w:p w14:paraId="35C1E475"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90 ngày kể từ ngày Thông tư này có hiệu lực thi hành, nhà đầu tư nước ngoài không thực hiện chuyển đổi tài khoản vốn đầu tư gián tiếp theo quy định tại khoản 1 Điều này, nhà đầu tư nước ngoài không được thực hiện hoạt động đầu tư gián tiếp tại Việt Nam thông qua tài khoản góp vốn, mua cổ phần, tài khoản tiền gửi chuyên dùng không kỳ hạn bằng ngoại tệ và bằng đồng Việt Nam của công ty chứng khoán mở tại ngân hàng được phép.</w:t>
      </w:r>
    </w:p>
    <w:p w14:paraId="6A662568" w14:textId="77777777" w:rsidR="008B6233" w:rsidRDefault="008B6233" w:rsidP="008B6233">
      <w:pPr>
        <w:pStyle w:val="NormalWeb"/>
        <w:spacing w:after="90" w:afterAutospacing="0" w:line="345" w:lineRule="atLeast"/>
        <w:jc w:val="both"/>
        <w:rPr>
          <w:rFonts w:ascii="Arial" w:hAnsi="Arial" w:cs="Arial"/>
          <w:color w:val="000000"/>
          <w:sz w:val="21"/>
          <w:szCs w:val="21"/>
        </w:rPr>
      </w:pPr>
    </w:p>
    <w:p w14:paraId="6BB5FCD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thi hành</w:t>
      </w:r>
    </w:p>
    <w:p w14:paraId="3FB2B4AE" w14:textId="77777777" w:rsidR="008B6233" w:rsidRDefault="008B6233" w:rsidP="008B62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Vụ trưởng Vụ Quản lý ngoại hối, Thủ trưởng các đơn vị liên quan thuộc Ngân hàng Nhà nước, Giám đốc Ngân hàng Nhà nước chi nhánh các tỉnh, thành phố trực thuộc Trung ương, Chủ tịch Hội đồng quản trị, Chủ tịch Hội đồng thành viên, Tổng giám đốc (Giám đốc) của các tổ chức tín dụng, chi nhánh ngân hàng nước ngoài có trách nhiệm tổ chức thi hành Thông tư này.</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03"/>
        <w:gridCol w:w="3610"/>
      </w:tblGrid>
      <w:tr w:rsidR="008B6233" w14:paraId="39B43D82" w14:textId="77777777" w:rsidTr="008B623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A3D92" w14:textId="77777777" w:rsidR="008B6233" w:rsidRDefault="008B6233" w:rsidP="008B623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18;</w:t>
            </w:r>
            <w:r>
              <w:rPr>
                <w:rFonts w:ascii="Arial" w:hAnsi="Arial" w:cs="Arial"/>
                <w:color w:val="000000"/>
                <w:sz w:val="21"/>
                <w:szCs w:val="21"/>
              </w:rPr>
              <w:br/>
              <w:t>- BLĐ NHNN;</w:t>
            </w:r>
            <w:r>
              <w:rPr>
                <w:rFonts w:ascii="Arial" w:hAnsi="Arial" w:cs="Arial"/>
                <w:color w:val="000000"/>
                <w:sz w:val="21"/>
                <w:szCs w:val="21"/>
              </w:rPr>
              <w:br/>
              <w:t>- Văn phòng Chính phủ;</w:t>
            </w:r>
            <w:r>
              <w:rPr>
                <w:rFonts w:ascii="Arial" w:hAnsi="Arial" w:cs="Arial"/>
                <w:color w:val="000000"/>
                <w:sz w:val="21"/>
                <w:szCs w:val="21"/>
              </w:rPr>
              <w:br/>
            </w:r>
            <w:r>
              <w:rPr>
                <w:rFonts w:ascii="Arial" w:hAnsi="Arial" w:cs="Arial"/>
                <w:color w:val="000000"/>
                <w:sz w:val="21"/>
                <w:szCs w:val="21"/>
              </w:rPr>
              <w:lastRenderedPageBreak/>
              <w:t>- Bộ Tư pháp (để kiểm tra);</w:t>
            </w:r>
            <w:r>
              <w:rPr>
                <w:rFonts w:ascii="Arial" w:hAnsi="Arial" w:cs="Arial"/>
                <w:color w:val="000000"/>
                <w:sz w:val="21"/>
                <w:szCs w:val="21"/>
              </w:rPr>
              <w:br/>
              <w:t>- Công báo;</w:t>
            </w:r>
            <w:r>
              <w:rPr>
                <w:rFonts w:ascii="Arial" w:hAnsi="Arial" w:cs="Arial"/>
                <w:color w:val="000000"/>
                <w:sz w:val="21"/>
                <w:szCs w:val="21"/>
              </w:rPr>
              <w:br/>
              <w:t>- Lưu VP, QLNH,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8D304" w14:textId="77777777" w:rsidR="008B6233" w:rsidRDefault="008B62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Đào Minh Tú</w:t>
            </w:r>
          </w:p>
        </w:tc>
      </w:tr>
    </w:tbl>
    <w:p w14:paraId="2D66D9B9" w14:textId="77777777" w:rsidR="00E91008" w:rsidRPr="008B6233" w:rsidRDefault="00E91008" w:rsidP="008B6233"/>
    <w:sectPr w:rsidR="00E91008" w:rsidRPr="008B6233"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852F" w14:textId="77777777" w:rsidR="00C0513B" w:rsidRDefault="00C0513B" w:rsidP="007446EA">
      <w:pPr>
        <w:spacing w:after="0" w:line="240" w:lineRule="auto"/>
      </w:pPr>
      <w:r>
        <w:separator/>
      </w:r>
    </w:p>
  </w:endnote>
  <w:endnote w:type="continuationSeparator" w:id="0">
    <w:p w14:paraId="33D325C0" w14:textId="77777777" w:rsidR="00C0513B" w:rsidRDefault="00C0513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FB493" w14:textId="77777777" w:rsidR="00C0513B" w:rsidRDefault="00C0513B" w:rsidP="007446EA">
      <w:pPr>
        <w:spacing w:after="0" w:line="240" w:lineRule="auto"/>
      </w:pPr>
      <w:r>
        <w:separator/>
      </w:r>
    </w:p>
  </w:footnote>
  <w:footnote w:type="continuationSeparator" w:id="0">
    <w:p w14:paraId="450B008A" w14:textId="77777777" w:rsidR="00C0513B" w:rsidRDefault="00C0513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5E99"/>
    <w:rsid w:val="00847288"/>
    <w:rsid w:val="00851DCA"/>
    <w:rsid w:val="00861424"/>
    <w:rsid w:val="0086161F"/>
    <w:rsid w:val="008744ED"/>
    <w:rsid w:val="00885DDD"/>
    <w:rsid w:val="008941B5"/>
    <w:rsid w:val="008A3CF6"/>
    <w:rsid w:val="008A5090"/>
    <w:rsid w:val="008B6233"/>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gan-hang-nha-nuoc-viet-nam-so-46-2010-qh12.aspx" TargetMode="External"/><Relationship Id="rId13" Type="http://schemas.openxmlformats.org/officeDocument/2006/relationships/hyperlink" Target="https://admin.luatminhkhue.vn/search?q=28/2005/PL-UBTVQH11&amp;type=do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thong-tu-so-05-2014-tt-nhnn-cua-ngan-hang-nha-nuoc-viet-nam---huong-dan-viec-mo-va-su-dung-tai-khoan-von-dau-tu-gian-tiep-de-thuc-hien-hoat-dong-dau-tu-gian-tiep-nuoc-ngoai-tai-viet-nam.aspx" TargetMode="External"/><Relationship Id="rId12" Type="http://schemas.openxmlformats.org/officeDocument/2006/relationships/hyperlink" Target="https://admin.luatminhkhue.vn/luat-sua-doi--bo-sung-luat-chung-khoan-so-62-2010-qh12-.aspx" TargetMode="External"/><Relationship Id="rId17" Type="http://schemas.openxmlformats.org/officeDocument/2006/relationships/hyperlink" Target="https://admin.luatminhkhue.vn/thong-tu-so-03-2004-tt-nhnn-cua-ngan-hang-nha-nuoc-viet-nam---huong-dan-ve-quan-ly-ngoai-hoi-doi-voi-viec-gop-von--mua-co-phan-cua-nha-dau-tu-nuoc-ngoai-trong-cac-doanh-nghiep-viet-nam.aspx" TargetMode="External"/><Relationship Id="rId2" Type="http://schemas.openxmlformats.org/officeDocument/2006/relationships/styles" Target="styles.xml"/><Relationship Id="rId16" Type="http://schemas.openxmlformats.org/officeDocument/2006/relationships/hyperlink" Target="https://admin.luatminhkhue.vn/dich-vu-tu-van-dau-tu-cho-nha-dau-tu-nuoc-ngoai-tai-viet-nam.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chung-khoan-so-70-2006-qh11.aspx" TargetMode="External"/><Relationship Id="rId5" Type="http://schemas.openxmlformats.org/officeDocument/2006/relationships/footnotes" Target="footnotes.xml"/><Relationship Id="rId15" Type="http://schemas.openxmlformats.org/officeDocument/2006/relationships/hyperlink" Target="https://admin.luatminhkhue.vn/nghi-dinh-156-2013-nd-cp-quy-dinh-chuc-nang-nhiem-vu-to-chuc-ngan-hang-nha-nuoc-viet-nam.aspx" TargetMode="External"/><Relationship Id="rId10" Type="http://schemas.openxmlformats.org/officeDocument/2006/relationships/hyperlink" Target="https://admin.luatminhkhue.vn/luat-dau-tu-so-59-2005-qh11-ngay-29-thang-11-nam-2005.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luat-cac-to-chuc-tin-dung-cua-quoc-hoi--so-47-2010-qh12.aspx" TargetMode="External"/><Relationship Id="rId14" Type="http://schemas.openxmlformats.org/officeDocument/2006/relationships/hyperlink" Target="https://admin.luatminhkhue.vn/search?q=06/2013/PL-UBTVQH113&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123</cp:revision>
  <dcterms:created xsi:type="dcterms:W3CDTF">2015-09-21T17:28:00Z</dcterms:created>
  <dcterms:modified xsi:type="dcterms:W3CDTF">2022-03-29T19:54:00Z</dcterms:modified>
</cp:coreProperties>
</file>