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94" w:type="dxa"/>
        <w:shd w:val="clear" w:color="auto" w:fill="FFFFFF"/>
        <w:tblCellMar>
          <w:left w:w="0" w:type="dxa"/>
          <w:right w:w="0" w:type="dxa"/>
        </w:tblCellMar>
        <w:tblLook w:val="04A0" w:firstRow="1" w:lastRow="0" w:firstColumn="1" w:lastColumn="0" w:noHBand="0" w:noVBand="1"/>
      </w:tblPr>
      <w:tblGrid>
        <w:gridCol w:w="3385"/>
        <w:gridCol w:w="6209"/>
      </w:tblGrid>
      <w:tr w:rsidR="000049BB" w:rsidRPr="000049BB" w:rsidTr="00746077">
        <w:trPr>
          <w:trHeight w:val="1075"/>
        </w:trPr>
        <w:tc>
          <w:tcPr>
            <w:tcW w:w="3385" w:type="dxa"/>
            <w:shd w:val="clear" w:color="auto" w:fill="FFFFFF"/>
            <w:vAlign w:val="center"/>
            <w:hideMark/>
          </w:tcPr>
          <w:p w:rsidR="000049BB" w:rsidRPr="000049BB" w:rsidRDefault="000049BB" w:rsidP="00746077">
            <w:pPr>
              <w:spacing w:before="100" w:beforeAutospacing="1" w:after="100" w:afterAutospacing="1" w:line="360" w:lineRule="auto"/>
              <w:jc w:val="center"/>
              <w:rPr>
                <w:rFonts w:ascii="Times New Roman" w:eastAsia="Times New Roman" w:hAnsi="Times New Roman"/>
                <w:color w:val="333333"/>
                <w:sz w:val="24"/>
                <w:szCs w:val="24"/>
              </w:rPr>
            </w:pPr>
            <w:r w:rsidRPr="00746077">
              <w:rPr>
                <w:rFonts w:ascii="Times New Roman" w:eastAsia="Times New Roman" w:hAnsi="Times New Roman"/>
                <w:b/>
                <w:bCs/>
                <w:color w:val="333333"/>
                <w:sz w:val="24"/>
                <w:szCs w:val="24"/>
              </w:rPr>
              <w:t>BỘ TÀI CHÍNH</w:t>
            </w:r>
            <w:r w:rsidRPr="000049BB">
              <w:rPr>
                <w:rFonts w:ascii="Times New Roman" w:eastAsia="Times New Roman" w:hAnsi="Times New Roman"/>
                <w:b/>
                <w:bCs/>
                <w:color w:val="333333"/>
                <w:sz w:val="24"/>
                <w:szCs w:val="24"/>
              </w:rPr>
              <w:br/>
            </w:r>
            <w:r w:rsidRPr="00746077">
              <w:rPr>
                <w:rFonts w:ascii="Times New Roman" w:eastAsia="Times New Roman" w:hAnsi="Times New Roman"/>
                <w:b/>
                <w:bCs/>
                <w:color w:val="333333"/>
                <w:sz w:val="24"/>
                <w:szCs w:val="24"/>
              </w:rPr>
              <w:t>-------</w:t>
            </w:r>
          </w:p>
        </w:tc>
        <w:tc>
          <w:tcPr>
            <w:tcW w:w="6209" w:type="dxa"/>
            <w:shd w:val="clear" w:color="auto" w:fill="FFFFFF"/>
            <w:vAlign w:val="center"/>
            <w:hideMark/>
          </w:tcPr>
          <w:p w:rsidR="000049BB" w:rsidRPr="000049BB" w:rsidRDefault="000049BB" w:rsidP="00746077">
            <w:pPr>
              <w:spacing w:before="100" w:beforeAutospacing="1" w:after="100" w:afterAutospacing="1"/>
              <w:jc w:val="center"/>
              <w:rPr>
                <w:rFonts w:ascii="Times New Roman" w:eastAsia="Times New Roman" w:hAnsi="Times New Roman"/>
                <w:color w:val="333333"/>
                <w:sz w:val="24"/>
                <w:szCs w:val="24"/>
              </w:rPr>
            </w:pPr>
            <w:r w:rsidRPr="00746077">
              <w:rPr>
                <w:rFonts w:ascii="Times New Roman" w:eastAsia="Times New Roman" w:hAnsi="Times New Roman"/>
                <w:b/>
                <w:bCs/>
                <w:color w:val="333333"/>
                <w:sz w:val="24"/>
                <w:szCs w:val="24"/>
              </w:rPr>
              <w:t>CỘNG HÒA XÃ HỘI CHỦ NGHĨA VIỆT NAM</w:t>
            </w:r>
            <w:r w:rsidRPr="000049BB">
              <w:rPr>
                <w:rFonts w:ascii="Times New Roman" w:eastAsia="Times New Roman" w:hAnsi="Times New Roman"/>
                <w:b/>
                <w:bCs/>
                <w:color w:val="333333"/>
                <w:sz w:val="24"/>
                <w:szCs w:val="24"/>
              </w:rPr>
              <w:br/>
            </w:r>
            <w:r w:rsidRPr="00746077">
              <w:rPr>
                <w:rFonts w:ascii="Times New Roman" w:eastAsia="Times New Roman" w:hAnsi="Times New Roman"/>
                <w:b/>
                <w:bCs/>
                <w:color w:val="333333"/>
                <w:sz w:val="24"/>
                <w:szCs w:val="24"/>
              </w:rPr>
              <w:t>Độc lập - Tự do - Hạnh phúc</w:t>
            </w:r>
            <w:r w:rsidRPr="000049BB">
              <w:rPr>
                <w:rFonts w:ascii="Times New Roman" w:eastAsia="Times New Roman" w:hAnsi="Times New Roman"/>
                <w:b/>
                <w:bCs/>
                <w:color w:val="333333"/>
                <w:sz w:val="24"/>
                <w:szCs w:val="24"/>
              </w:rPr>
              <w:br/>
            </w:r>
            <w:r w:rsidRPr="00746077">
              <w:rPr>
                <w:rFonts w:ascii="Times New Roman" w:eastAsia="Times New Roman" w:hAnsi="Times New Roman"/>
                <w:b/>
                <w:bCs/>
                <w:color w:val="333333"/>
                <w:sz w:val="24"/>
                <w:szCs w:val="24"/>
              </w:rPr>
              <w:t>---------------</w:t>
            </w:r>
          </w:p>
        </w:tc>
      </w:tr>
      <w:tr w:rsidR="000049BB" w:rsidRPr="000049BB" w:rsidTr="00746077">
        <w:trPr>
          <w:trHeight w:val="375"/>
        </w:trPr>
        <w:tc>
          <w:tcPr>
            <w:tcW w:w="3385" w:type="dxa"/>
            <w:shd w:val="clear" w:color="auto" w:fill="FFFFFF"/>
            <w:vAlign w:val="center"/>
            <w:hideMark/>
          </w:tcPr>
          <w:p w:rsidR="000049BB" w:rsidRPr="000049BB" w:rsidRDefault="000049BB" w:rsidP="00746077">
            <w:pPr>
              <w:spacing w:before="100" w:beforeAutospacing="1" w:after="100" w:afterAutospacing="1"/>
              <w:jc w:val="center"/>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 xml:space="preserve">Số: </w:t>
            </w:r>
            <w:bookmarkStart w:id="0" w:name="_GoBack"/>
            <w:r w:rsidRPr="000049BB">
              <w:rPr>
                <w:rFonts w:ascii="Times New Roman" w:eastAsia="Times New Roman" w:hAnsi="Times New Roman"/>
                <w:color w:val="333333"/>
                <w:sz w:val="24"/>
                <w:szCs w:val="24"/>
              </w:rPr>
              <w:t>57/2014/TT-BTC</w:t>
            </w:r>
            <w:bookmarkEnd w:id="0"/>
          </w:p>
        </w:tc>
        <w:tc>
          <w:tcPr>
            <w:tcW w:w="6209" w:type="dxa"/>
            <w:shd w:val="clear" w:color="auto" w:fill="FFFFFF"/>
            <w:vAlign w:val="center"/>
            <w:hideMark/>
          </w:tcPr>
          <w:p w:rsidR="000049BB" w:rsidRPr="000049BB" w:rsidRDefault="000049BB" w:rsidP="00746077">
            <w:pPr>
              <w:spacing w:before="100" w:beforeAutospacing="1" w:after="100" w:afterAutospacing="1"/>
              <w:jc w:val="right"/>
              <w:rPr>
                <w:rFonts w:ascii="Times New Roman" w:eastAsia="Times New Roman" w:hAnsi="Times New Roman"/>
                <w:color w:val="333333"/>
                <w:sz w:val="24"/>
                <w:szCs w:val="24"/>
              </w:rPr>
            </w:pPr>
            <w:r w:rsidRPr="00746077">
              <w:rPr>
                <w:rFonts w:ascii="Times New Roman" w:eastAsia="Times New Roman" w:hAnsi="Times New Roman"/>
                <w:i/>
                <w:iCs/>
                <w:color w:val="333333"/>
                <w:sz w:val="24"/>
                <w:szCs w:val="24"/>
              </w:rPr>
              <w:t>Hà Nội, ngày 6 tháng 5 năm 2014</w:t>
            </w:r>
          </w:p>
        </w:tc>
      </w:tr>
    </w:tbl>
    <w:p w:rsidR="000049BB" w:rsidRPr="000049BB" w:rsidRDefault="000049BB" w:rsidP="00746077">
      <w:pPr>
        <w:shd w:val="clear" w:color="auto" w:fill="FFFFFF"/>
        <w:spacing w:before="100" w:beforeAutospacing="1" w:after="100" w:afterAutospacing="1"/>
        <w:rPr>
          <w:rFonts w:ascii="Times New Roman" w:eastAsia="Times New Roman" w:hAnsi="Times New Roman"/>
          <w:color w:val="333333"/>
          <w:sz w:val="24"/>
          <w:szCs w:val="24"/>
        </w:rPr>
      </w:pPr>
    </w:p>
    <w:p w:rsidR="000049BB" w:rsidRPr="000049BB" w:rsidRDefault="000049BB" w:rsidP="00746077">
      <w:pPr>
        <w:shd w:val="clear" w:color="auto" w:fill="FFFFFF"/>
        <w:spacing w:before="100" w:beforeAutospacing="1" w:after="100" w:afterAutospacing="1"/>
        <w:jc w:val="center"/>
        <w:rPr>
          <w:rFonts w:ascii="Times New Roman" w:eastAsia="Times New Roman" w:hAnsi="Times New Roman"/>
          <w:color w:val="333333"/>
          <w:sz w:val="24"/>
          <w:szCs w:val="24"/>
        </w:rPr>
      </w:pPr>
      <w:r w:rsidRPr="00746077">
        <w:rPr>
          <w:rFonts w:ascii="Times New Roman" w:eastAsia="Times New Roman" w:hAnsi="Times New Roman"/>
          <w:b/>
          <w:bCs/>
          <w:color w:val="333333"/>
          <w:sz w:val="24"/>
          <w:szCs w:val="24"/>
        </w:rPr>
        <w:t>THÔNG TƯ</w:t>
      </w:r>
    </w:p>
    <w:p w:rsidR="000049BB" w:rsidRPr="000049BB" w:rsidRDefault="000049BB" w:rsidP="00746077">
      <w:pPr>
        <w:shd w:val="clear" w:color="auto" w:fill="FFFFFF"/>
        <w:spacing w:before="100" w:beforeAutospacing="1" w:after="100" w:afterAutospacing="1"/>
        <w:jc w:val="center"/>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SỬA ĐỔI, BỔ SUNG MỘT SỐ ĐIỀU CỦA THÔNG TƯ SỐ 141/2011/TT-BTC QUY ĐỊNH VỀ CHẾ ĐỘ THANH TOÁN TIỀN NGHỈ PHÉP HÀNG NĂM ĐỐI VỚI CÁN BỘ, CÔNG CHỨC, VIÊN CHỨC, LAO ĐỘNG HỢP ĐỒNG LÀM VIỆC TRONG CÁC CƠ QUAN NHÀ NƯỚC VÀ ĐƠN VỊ SỰ NGHIỆP CÔNG LẬP</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746077">
        <w:rPr>
          <w:rFonts w:ascii="Times New Roman" w:eastAsia="Times New Roman" w:hAnsi="Times New Roman"/>
          <w:i/>
          <w:iCs/>
          <w:color w:val="333333"/>
          <w:sz w:val="24"/>
          <w:szCs w:val="24"/>
        </w:rPr>
        <w:t>Căn cứ Bộ luật Lao động số 10/2012/QH13 ngày 18/6/2012;</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746077">
        <w:rPr>
          <w:rFonts w:ascii="Times New Roman" w:eastAsia="Times New Roman" w:hAnsi="Times New Roman"/>
          <w:i/>
          <w:iCs/>
          <w:color w:val="333333"/>
          <w:sz w:val="24"/>
          <w:szCs w:val="24"/>
        </w:rPr>
        <w:t>Căn cứ Nghị định số 45/2013/NĐ-CP ngày 10/5/2013 của Chính phủ quy định chi tiết một số điều của Bộ luật Lao động về thời giờ làm việc, thời giờ nghỉ ngơi và an toàn lao động, vệ sinh lao động;</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746077">
        <w:rPr>
          <w:rFonts w:ascii="Times New Roman" w:eastAsia="Times New Roman" w:hAnsi="Times New Roman"/>
          <w:i/>
          <w:iCs/>
          <w:color w:val="333333"/>
          <w:sz w:val="24"/>
          <w:szCs w:val="24"/>
        </w:rPr>
        <w:t>Căn cứ Nghị định số 60/2003/NĐ-CP ngày 06/6/2003 của Chính phủ quy định chi tiết và hướng dẫn thi hành Luật Ngân sách Nhà nước;</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746077">
        <w:rPr>
          <w:rFonts w:ascii="Times New Roman" w:eastAsia="Times New Roman" w:hAnsi="Times New Roman"/>
          <w:i/>
          <w:iCs/>
          <w:color w:val="333333"/>
          <w:sz w:val="24"/>
          <w:szCs w:val="24"/>
        </w:rPr>
        <w:t>Căn cứ Nghị định số 215/2013/NĐ-CP ngày 23/12/ 2013 của Chính phủ quy định chức năng, nhiệm vụ, quyền hạn và cơ cấu tổ chức của Bộ Tài chính;</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746077">
        <w:rPr>
          <w:rFonts w:ascii="Times New Roman" w:eastAsia="Times New Roman" w:hAnsi="Times New Roman"/>
          <w:i/>
          <w:iCs/>
          <w:color w:val="333333"/>
          <w:sz w:val="24"/>
          <w:szCs w:val="24"/>
        </w:rPr>
        <w:t>Theo đề nghị của Vụ trưởng Vụ Tài chính Hành chính sự nghiệp;</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746077">
        <w:rPr>
          <w:rFonts w:ascii="Times New Roman" w:eastAsia="Times New Roman" w:hAnsi="Times New Roman"/>
          <w:i/>
          <w:iCs/>
          <w:color w:val="333333"/>
          <w:sz w:val="24"/>
          <w:szCs w:val="24"/>
        </w:rPr>
        <w:t>Bộ trưởng Bộ Tài chính ban hành Thông tư sửa đổi, bổ sung một số điều của Thông tư số 141/2011/TT-BTC ngày 20/10/2011 quy định về chế độ thanh toán tiền nghỉ phép hàng năm đối với cán bộ, công chức, lao động hợp đồng làm việc trong các cơ quan nhà nước và đơn vị sự nghiệp công lập (sau đây gọi là Thông tư số 141/2011/TT-BTC) như sau:</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746077">
        <w:rPr>
          <w:rFonts w:ascii="Times New Roman" w:eastAsia="Times New Roman" w:hAnsi="Times New Roman"/>
          <w:b/>
          <w:bCs/>
          <w:color w:val="333333"/>
          <w:sz w:val="24"/>
          <w:szCs w:val="24"/>
        </w:rPr>
        <w:t>Điều 1. Sửa đổi, bổ sung một số điều của Thông tư số 141/2011/TT-BTC như sau:</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1. Sửa đổi điểm a khoản 1 Điều 2 như sau:</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 xml:space="preserve">“ a) Cán bộ, công chức là người miền xuôi công tác ở vùng cao, vùng sâu, vùng xa, biên giới, hải đảo có hệ số phụ cấp khu vực từ mức 0,5 trở lên (theo quy định tại Thông tư liên tịch số </w:t>
      </w:r>
      <w:r w:rsidRPr="000049BB">
        <w:rPr>
          <w:rFonts w:ascii="Times New Roman" w:eastAsia="Times New Roman" w:hAnsi="Times New Roman"/>
          <w:color w:val="333333"/>
          <w:sz w:val="24"/>
          <w:szCs w:val="24"/>
        </w:rPr>
        <w:lastRenderedPageBreak/>
        <w:t>11/2005/TTLT-BNV-BLĐTBXH-BTC-UBDT ngày 05/01/2005 của Bộ Nội vụ, Lao động Thương binh và Xã hội, Bộ Tài chính và Ủy ban Dân tộc) và người ở vùng cao, vùng sâu, vùng xa, biên giới, hải đảo có hệ số phụ cấp khu vực từ mức 0,5 trở lên làm việc ở miền xuôi có đủ điều kiện được nghỉ phép hàng năm theo Bộ luật Lao động quy định, được thủ trưởng cơ quan, đơn vị đồng ý cấp giấy cho đi nghỉ phép năm về thăm gia đình, cha mẹ, vợ hoặc chồng, con hoặc thăm quê quán”.</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2. Sửa đổi điểm a khoản 2 Điều 2 như sau:</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“a) Các trường hợp được thanh toán tiền lương những ngày chưa nghỉ thực hiện theo quy định tại Điều 114 Bộ luật Lao động số 10/2012/QH13 ngày 18/6/2012”.</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3. Sửa đổi tiết b điểm 2.1 khoản 2 Điều 4 như sau:</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“b) Cán bộ, công chức có thể thỏa thuận với thủ trưởng cơ quan, đơn vị để nghỉ gộp tối đa ba năm một lần và chỉ được thanh toán một lần tiền nghỉ phép năm theo quy định tại Điều 4 Thông tư này”.</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4. Sửa đổi điểm a khoản 1 Điều 5 như sau:</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“a) Các trường hợp theo quy định tại Điều 114 Bộ luật Lao động số 10/2012/QH13 ngày 18/6/2012:</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Căn cứ theo quyết định tuyển dụng, hợp đồng lao động, văn bản xác nhận của cơ quan, đơn vị về việc cán bộ, công chức thôi việc, bị mất việc làm”.</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5. Sửa đổi tiêu đề điểm a khoản 2 Điều 5 như sau:</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“a) Các trường hợp theo quy định tại Điều 114 Bộ luật Lao động số 10/2012/QH13 ngày 18/6/2012”.</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6. Bổ sung khoản 4 Điều 6 như sau:</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“4. Trong quá trình thực hiện, nếu các văn bản được dẫn chiếu để áp dụng trong Thông tư này được sửa đổi, bổ sung hay thay thế bằng các văn bản mới thì được dẫn chiếu áp dụng theo các văn bản mới đó”.</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746077">
        <w:rPr>
          <w:rFonts w:ascii="Times New Roman" w:eastAsia="Times New Roman" w:hAnsi="Times New Roman"/>
          <w:b/>
          <w:bCs/>
          <w:color w:val="333333"/>
          <w:sz w:val="24"/>
          <w:szCs w:val="24"/>
        </w:rPr>
        <w:t>Điều 2. Hiệu lực thi hành.</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Thông tư này có hiệu lực thi hành kể từ ngày 01 /7/2014.</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lastRenderedPageBreak/>
        <w:t>Những quy định khác tại Thông tư số 141/2011/TT-BTC ngày 20/10/2011 quy định về chế độ thanh toán tiền nghỉ phép hàng năm đối với cán bộ, công chức, lao động hợp đồng làm việc trong các cơ quan nhà nước và đơn vị sự nghiệp công lập vẫn có hiệu lực thi hành.</w:t>
      </w:r>
    </w:p>
    <w:p w:rsidR="000049BB" w:rsidRPr="000049BB" w:rsidRDefault="000049BB" w:rsidP="00746077">
      <w:pPr>
        <w:shd w:val="clear" w:color="auto" w:fill="FFFFFF"/>
        <w:spacing w:before="100" w:beforeAutospacing="1" w:after="100" w:afterAutospacing="1"/>
        <w:jc w:val="both"/>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Trong quá trình thực hiện, nếu phát sinh vướng mắc, đề nghị phản ánh kịp thời về Bộ Tài chính để nghiên cứu hướng dẫn thực hiện./.</w:t>
      </w:r>
    </w:p>
    <w:tbl>
      <w:tblPr>
        <w:tblW w:w="9356" w:type="dxa"/>
        <w:tblInd w:w="-8"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5670"/>
        <w:gridCol w:w="3686"/>
      </w:tblGrid>
      <w:tr w:rsidR="000049BB" w:rsidRPr="000049BB" w:rsidTr="00746077">
        <w:trPr>
          <w:trHeight w:val="5653"/>
        </w:trPr>
        <w:tc>
          <w:tcPr>
            <w:tcW w:w="567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0049BB" w:rsidRPr="000049BB" w:rsidRDefault="000049BB" w:rsidP="00746077">
            <w:pPr>
              <w:spacing w:before="100" w:beforeAutospacing="1" w:after="100" w:afterAutospacing="1"/>
              <w:rPr>
                <w:rFonts w:ascii="Times New Roman" w:eastAsia="Times New Roman" w:hAnsi="Times New Roman"/>
                <w:color w:val="333333"/>
                <w:sz w:val="24"/>
                <w:szCs w:val="24"/>
              </w:rPr>
            </w:pPr>
            <w:r w:rsidRPr="000049BB">
              <w:rPr>
                <w:rFonts w:ascii="Times New Roman" w:eastAsia="Times New Roman" w:hAnsi="Times New Roman"/>
                <w:color w:val="333333"/>
                <w:sz w:val="24"/>
                <w:szCs w:val="24"/>
              </w:rPr>
              <w:t> </w:t>
            </w:r>
            <w:r w:rsidRPr="00746077">
              <w:rPr>
                <w:rFonts w:ascii="Times New Roman" w:eastAsia="Times New Roman" w:hAnsi="Times New Roman"/>
                <w:b/>
                <w:bCs/>
                <w:i/>
                <w:iCs/>
                <w:color w:val="333333"/>
                <w:sz w:val="24"/>
                <w:szCs w:val="24"/>
              </w:rPr>
              <w:t>Nơi nhận:</w:t>
            </w:r>
            <w:r w:rsidRPr="000049BB">
              <w:rPr>
                <w:rFonts w:ascii="Times New Roman" w:eastAsia="Times New Roman" w:hAnsi="Times New Roman"/>
                <w:color w:val="333333"/>
                <w:sz w:val="24"/>
                <w:szCs w:val="24"/>
              </w:rPr>
              <w:br/>
              <w:t>- Ban Bí thư Trung ương Đảng; Thủ tướng, các Phó TTCP;</w:t>
            </w:r>
            <w:r w:rsidRPr="000049BB">
              <w:rPr>
                <w:rFonts w:ascii="Times New Roman" w:eastAsia="Times New Roman" w:hAnsi="Times New Roman"/>
                <w:color w:val="333333"/>
                <w:sz w:val="24"/>
                <w:szCs w:val="24"/>
              </w:rPr>
              <w:br/>
              <w:t>- Văn phòng TW Đảng và các Ban của Đảng;</w:t>
            </w:r>
            <w:r w:rsidRPr="000049BB">
              <w:rPr>
                <w:rFonts w:ascii="Times New Roman" w:eastAsia="Times New Roman" w:hAnsi="Times New Roman"/>
                <w:color w:val="333333"/>
                <w:sz w:val="24"/>
                <w:szCs w:val="24"/>
              </w:rPr>
              <w:br/>
              <w:t>- Văn phòng Tổng Bí thư; Văn phòng Chính phủ;</w:t>
            </w:r>
            <w:r w:rsidRPr="000049BB">
              <w:rPr>
                <w:rFonts w:ascii="Times New Roman" w:eastAsia="Times New Roman" w:hAnsi="Times New Roman"/>
                <w:color w:val="333333"/>
                <w:sz w:val="24"/>
                <w:szCs w:val="24"/>
              </w:rPr>
              <w:br/>
              <w:t>- VP Quốc hội; VP Chủ tịch nước;</w:t>
            </w:r>
            <w:r w:rsidRPr="000049BB">
              <w:rPr>
                <w:rFonts w:ascii="Times New Roman" w:eastAsia="Times New Roman" w:hAnsi="Times New Roman"/>
                <w:color w:val="333333"/>
                <w:sz w:val="24"/>
                <w:szCs w:val="24"/>
              </w:rPr>
              <w:br/>
              <w:t>- Tòa án nhân dân tối cao; Viện KSND tối cao;</w:t>
            </w:r>
            <w:r w:rsidRPr="000049BB">
              <w:rPr>
                <w:rFonts w:ascii="Times New Roman" w:eastAsia="Times New Roman" w:hAnsi="Times New Roman"/>
                <w:color w:val="333333"/>
                <w:sz w:val="24"/>
                <w:szCs w:val="24"/>
              </w:rPr>
              <w:br/>
              <w:t>- Kiểm toán Nhà nước;</w:t>
            </w:r>
            <w:r w:rsidRPr="000049BB">
              <w:rPr>
                <w:rFonts w:ascii="Times New Roman" w:eastAsia="Times New Roman" w:hAnsi="Times New Roman"/>
                <w:color w:val="333333"/>
                <w:sz w:val="24"/>
                <w:szCs w:val="24"/>
              </w:rPr>
              <w:br/>
              <w:t>- Cơ quan TW của các Hội, Đoàn thể;</w:t>
            </w:r>
            <w:r w:rsidRPr="000049BB">
              <w:rPr>
                <w:rFonts w:ascii="Times New Roman" w:eastAsia="Times New Roman" w:hAnsi="Times New Roman"/>
                <w:color w:val="333333"/>
                <w:sz w:val="24"/>
                <w:szCs w:val="24"/>
              </w:rPr>
              <w:br/>
              <w:t>- Các Bộ, cơ quan ngang Bộ, cơ quan thuộc CP;</w:t>
            </w:r>
            <w:r w:rsidRPr="000049BB">
              <w:rPr>
                <w:rFonts w:ascii="Times New Roman" w:eastAsia="Times New Roman" w:hAnsi="Times New Roman"/>
                <w:color w:val="333333"/>
                <w:sz w:val="24"/>
                <w:szCs w:val="24"/>
              </w:rPr>
              <w:br/>
              <w:t>- UBND, HĐND các tỉnh, TP trực thuộc TW;</w:t>
            </w:r>
            <w:r w:rsidRPr="000049BB">
              <w:rPr>
                <w:rFonts w:ascii="Times New Roman" w:eastAsia="Times New Roman" w:hAnsi="Times New Roman"/>
                <w:color w:val="333333"/>
                <w:sz w:val="24"/>
                <w:szCs w:val="24"/>
              </w:rPr>
              <w:br/>
              <w:t>- Sở TC, KBNN các tỉnh,TP trực thuộc TW;</w:t>
            </w:r>
            <w:r w:rsidRPr="000049BB">
              <w:rPr>
                <w:rFonts w:ascii="Times New Roman" w:eastAsia="Times New Roman" w:hAnsi="Times New Roman"/>
                <w:color w:val="333333"/>
                <w:sz w:val="24"/>
                <w:szCs w:val="24"/>
              </w:rPr>
              <w:br/>
              <w:t>- Cục Kiểm tra văn bản (Bộ Tư pháp);</w:t>
            </w:r>
            <w:r w:rsidRPr="000049BB">
              <w:rPr>
                <w:rFonts w:ascii="Times New Roman" w:eastAsia="Times New Roman" w:hAnsi="Times New Roman"/>
                <w:color w:val="333333"/>
                <w:sz w:val="24"/>
                <w:szCs w:val="24"/>
              </w:rPr>
              <w:br/>
              <w:t>- Công báo, Cổng thông tin điện tử Chính phủ;</w:t>
            </w:r>
            <w:r w:rsidRPr="000049BB">
              <w:rPr>
                <w:rFonts w:ascii="Times New Roman" w:eastAsia="Times New Roman" w:hAnsi="Times New Roman"/>
                <w:color w:val="333333"/>
                <w:sz w:val="24"/>
                <w:szCs w:val="24"/>
              </w:rPr>
              <w:br/>
              <w:t>- Cổng thông tin điện tử Bộ Tài chính;</w:t>
            </w:r>
            <w:r w:rsidRPr="000049BB">
              <w:rPr>
                <w:rFonts w:ascii="Times New Roman" w:eastAsia="Times New Roman" w:hAnsi="Times New Roman"/>
                <w:color w:val="333333"/>
                <w:sz w:val="24"/>
                <w:szCs w:val="24"/>
              </w:rPr>
              <w:br/>
              <w:t>- Các đơn vị thuộc Bộ Tài chính;</w:t>
            </w:r>
            <w:r w:rsidRPr="000049BB">
              <w:rPr>
                <w:rFonts w:ascii="Times New Roman" w:eastAsia="Times New Roman" w:hAnsi="Times New Roman"/>
                <w:color w:val="333333"/>
                <w:sz w:val="24"/>
                <w:szCs w:val="24"/>
              </w:rPr>
              <w:br/>
              <w:t>- Lưu: VT, HCSN.</w:t>
            </w:r>
          </w:p>
        </w:tc>
        <w:tc>
          <w:tcPr>
            <w:tcW w:w="368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0049BB" w:rsidRPr="000049BB" w:rsidRDefault="000049BB" w:rsidP="00746077">
            <w:pPr>
              <w:spacing w:before="100" w:beforeAutospacing="1" w:after="100" w:afterAutospacing="1"/>
              <w:jc w:val="center"/>
              <w:rPr>
                <w:rFonts w:ascii="Times New Roman" w:eastAsia="Times New Roman" w:hAnsi="Times New Roman"/>
                <w:color w:val="333333"/>
                <w:sz w:val="24"/>
                <w:szCs w:val="24"/>
              </w:rPr>
            </w:pPr>
            <w:r w:rsidRPr="00746077">
              <w:rPr>
                <w:rFonts w:ascii="Times New Roman" w:eastAsia="Times New Roman" w:hAnsi="Times New Roman"/>
                <w:b/>
                <w:bCs/>
                <w:color w:val="333333"/>
                <w:sz w:val="24"/>
                <w:szCs w:val="24"/>
              </w:rPr>
              <w:t>KT. BỘ TRƯỞNG</w:t>
            </w:r>
            <w:r w:rsidRPr="000049BB">
              <w:rPr>
                <w:rFonts w:ascii="Times New Roman" w:eastAsia="Times New Roman" w:hAnsi="Times New Roman"/>
                <w:b/>
                <w:bCs/>
                <w:color w:val="333333"/>
                <w:sz w:val="24"/>
                <w:szCs w:val="24"/>
              </w:rPr>
              <w:br/>
            </w:r>
            <w:r w:rsidRPr="00746077">
              <w:rPr>
                <w:rFonts w:ascii="Times New Roman" w:eastAsia="Times New Roman" w:hAnsi="Times New Roman"/>
                <w:b/>
                <w:bCs/>
                <w:color w:val="333333"/>
                <w:sz w:val="24"/>
                <w:szCs w:val="24"/>
              </w:rPr>
              <w:t>THỨ TRƯỞNG</w:t>
            </w:r>
            <w:r w:rsidRPr="000049BB">
              <w:rPr>
                <w:rFonts w:ascii="Times New Roman" w:eastAsia="Times New Roman" w:hAnsi="Times New Roman"/>
                <w:b/>
                <w:bCs/>
                <w:color w:val="333333"/>
                <w:sz w:val="24"/>
                <w:szCs w:val="24"/>
              </w:rPr>
              <w:br/>
            </w:r>
            <w:r w:rsidRPr="000049BB">
              <w:rPr>
                <w:rFonts w:ascii="Times New Roman" w:eastAsia="Times New Roman" w:hAnsi="Times New Roman"/>
                <w:b/>
                <w:bCs/>
                <w:color w:val="333333"/>
                <w:sz w:val="24"/>
                <w:szCs w:val="24"/>
              </w:rPr>
              <w:br/>
            </w:r>
            <w:r w:rsidRPr="000049BB">
              <w:rPr>
                <w:rFonts w:ascii="Times New Roman" w:eastAsia="Times New Roman" w:hAnsi="Times New Roman"/>
                <w:b/>
                <w:bCs/>
                <w:color w:val="333333"/>
                <w:sz w:val="24"/>
                <w:szCs w:val="24"/>
              </w:rPr>
              <w:br/>
            </w:r>
            <w:r w:rsidRPr="000049BB">
              <w:rPr>
                <w:rFonts w:ascii="Times New Roman" w:eastAsia="Times New Roman" w:hAnsi="Times New Roman"/>
                <w:b/>
                <w:bCs/>
                <w:color w:val="333333"/>
                <w:sz w:val="24"/>
                <w:szCs w:val="24"/>
              </w:rPr>
              <w:br/>
            </w:r>
            <w:r w:rsidRPr="000049BB">
              <w:rPr>
                <w:rFonts w:ascii="Times New Roman" w:eastAsia="Times New Roman" w:hAnsi="Times New Roman"/>
                <w:b/>
                <w:bCs/>
                <w:color w:val="333333"/>
                <w:sz w:val="24"/>
                <w:szCs w:val="24"/>
              </w:rPr>
              <w:br/>
            </w:r>
            <w:r w:rsidRPr="00746077">
              <w:rPr>
                <w:rFonts w:ascii="Times New Roman" w:eastAsia="Times New Roman" w:hAnsi="Times New Roman"/>
                <w:b/>
                <w:bCs/>
                <w:color w:val="333333"/>
                <w:sz w:val="24"/>
                <w:szCs w:val="24"/>
              </w:rPr>
              <w:t>Vũ Thị Mai</w:t>
            </w:r>
          </w:p>
        </w:tc>
      </w:tr>
    </w:tbl>
    <w:p w:rsidR="000049BB" w:rsidRPr="000049BB" w:rsidRDefault="000049BB" w:rsidP="00746077">
      <w:pPr>
        <w:shd w:val="clear" w:color="auto" w:fill="FFFFFF"/>
        <w:spacing w:before="100" w:beforeAutospacing="1" w:after="100" w:afterAutospacing="1"/>
        <w:rPr>
          <w:rFonts w:ascii="Times New Roman" w:eastAsia="Times New Roman" w:hAnsi="Times New Roman"/>
          <w:color w:val="333333"/>
          <w:sz w:val="24"/>
          <w:szCs w:val="24"/>
        </w:rPr>
      </w:pPr>
    </w:p>
    <w:p w:rsidR="00315C82" w:rsidRPr="00746077" w:rsidRDefault="00315C82" w:rsidP="00746077">
      <w:pPr>
        <w:rPr>
          <w:rFonts w:ascii="Times New Roman" w:hAnsi="Times New Roman"/>
          <w:sz w:val="24"/>
          <w:szCs w:val="24"/>
        </w:rPr>
      </w:pPr>
    </w:p>
    <w:sectPr w:rsidR="00315C82" w:rsidRPr="00746077" w:rsidSect="001038FC">
      <w:headerReference w:type="default" r:id="rId6"/>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C10" w:rsidRDefault="005B1C10" w:rsidP="007446EA">
      <w:pPr>
        <w:spacing w:after="0" w:line="240" w:lineRule="auto"/>
      </w:pPr>
      <w:r>
        <w:separator/>
      </w:r>
    </w:p>
  </w:endnote>
  <w:endnote w:type="continuationSeparator" w:id="0">
    <w:p w:rsidR="005B1C10" w:rsidRDefault="005B1C1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Look w:val="00A0" w:firstRow="1" w:lastRow="0" w:firstColumn="1" w:lastColumn="0" w:noHBand="0" w:noVBand="0"/>
    </w:tblPr>
    <w:tblGrid>
      <w:gridCol w:w="2808"/>
      <w:gridCol w:w="7110"/>
    </w:tblGrid>
    <w:tr w:rsidR="00615600" w:rsidRPr="00770BA3" w:rsidTr="00770BA3">
      <w:tc>
        <w:tcPr>
          <w:tcW w:w="2808" w:type="dxa"/>
        </w:tcPr>
        <w:p w:rsidR="00615600" w:rsidRPr="000211AB" w:rsidRDefault="00615600"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extent cx="14668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81050"/>
                        </a:xfrm>
                        <a:prstGeom prst="rect">
                          <a:avLst/>
                        </a:prstGeom>
                        <a:noFill/>
                        <a:ln>
                          <a:noFill/>
                        </a:ln>
                      </pic:spPr>
                    </pic:pic>
                  </a:graphicData>
                </a:graphic>
              </wp:inline>
            </w:drawing>
          </w:r>
        </w:p>
      </w:tc>
      <w:tc>
        <w:tcPr>
          <w:tcW w:w="7110" w:type="dxa"/>
        </w:tcPr>
        <w:p w:rsidR="00615600" w:rsidRPr="007446EA" w:rsidRDefault="00615600" w:rsidP="00770BA3">
          <w:pPr>
            <w:pStyle w:val="NormalWeb"/>
            <w:jc w:val="center"/>
          </w:pPr>
          <w:r w:rsidRPr="00770BA3">
            <w:rPr>
              <w:rStyle w:val="Strong"/>
              <w:color w:val="FF8C00"/>
            </w:rPr>
            <w:t xml:space="preserve">LUẬT SƯ TƯ VẤN PHÁP LUẬT TRỰC TUYẾN (24h/7) GỌI: </w:t>
          </w:r>
          <w:r w:rsidRPr="00770BA3">
            <w:rPr>
              <w:rStyle w:val="Strong"/>
              <w:color w:val="FF0000"/>
              <w:sz w:val="36"/>
              <w:szCs w:val="36"/>
            </w:rPr>
            <w:t xml:space="preserve"> 1900 6</w:t>
          </w:r>
          <w:r>
            <w:rPr>
              <w:rStyle w:val="Strong"/>
              <w:color w:val="FF0000"/>
              <w:sz w:val="36"/>
              <w:szCs w:val="36"/>
            </w:rPr>
            <w:t>162</w:t>
          </w:r>
        </w:p>
        <w:p w:rsidR="00615600" w:rsidRPr="00770BA3" w:rsidRDefault="00615600" w:rsidP="00770BA3">
          <w:pPr>
            <w:spacing w:before="100" w:beforeAutospacing="1" w:after="100" w:afterAutospacing="1" w:line="240" w:lineRule="auto"/>
            <w:rPr>
              <w:rFonts w:ascii="Times New Roman" w:hAnsi="Times New Roman"/>
              <w:sz w:val="24"/>
              <w:szCs w:val="24"/>
            </w:rPr>
          </w:pPr>
        </w:p>
      </w:tc>
    </w:tr>
  </w:tbl>
  <w:p w:rsidR="00615600" w:rsidRPr="007446EA" w:rsidRDefault="00615600" w:rsidP="0074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C10" w:rsidRDefault="005B1C10" w:rsidP="007446EA">
      <w:pPr>
        <w:spacing w:after="0" w:line="240" w:lineRule="auto"/>
      </w:pPr>
      <w:r>
        <w:separator/>
      </w:r>
    </w:p>
  </w:footnote>
  <w:footnote w:type="continuationSeparator" w:id="0">
    <w:p w:rsidR="005B1C10" w:rsidRDefault="005B1C10"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00" w:rsidRDefault="00615600">
    <w:pPr>
      <w:pStyle w:val="Header"/>
    </w:pPr>
    <w:hyperlink r:id="rId1" w:history="1">
      <w:r>
        <w:rPr>
          <w:rStyle w:val="Hyperlink"/>
        </w:rPr>
        <w:t>www.luatminhkhue.vn</w:t>
      </w:r>
    </w:hyperlink>
    <w:r>
      <w:tab/>
      <w:t xml:space="preserve">                                                                               </w:t>
    </w:r>
  </w:p>
  <w:p w:rsidR="00615600" w:rsidRDefault="00615600">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EA"/>
    <w:rsid w:val="000049BB"/>
    <w:rsid w:val="000170AA"/>
    <w:rsid w:val="000211AB"/>
    <w:rsid w:val="000378E8"/>
    <w:rsid w:val="00052A0F"/>
    <w:rsid w:val="000A672C"/>
    <w:rsid w:val="001038FC"/>
    <w:rsid w:val="00110D8A"/>
    <w:rsid w:val="00114A09"/>
    <w:rsid w:val="00117BAA"/>
    <w:rsid w:val="0022461C"/>
    <w:rsid w:val="00266947"/>
    <w:rsid w:val="002F0BAB"/>
    <w:rsid w:val="00315C82"/>
    <w:rsid w:val="00470C5F"/>
    <w:rsid w:val="00503D60"/>
    <w:rsid w:val="005B1C10"/>
    <w:rsid w:val="00615600"/>
    <w:rsid w:val="00640271"/>
    <w:rsid w:val="007446EA"/>
    <w:rsid w:val="00746077"/>
    <w:rsid w:val="00770BA3"/>
    <w:rsid w:val="007B275F"/>
    <w:rsid w:val="008744ED"/>
    <w:rsid w:val="008A3AD9"/>
    <w:rsid w:val="009C034A"/>
    <w:rsid w:val="00AC07C4"/>
    <w:rsid w:val="00AF2232"/>
    <w:rsid w:val="00B31985"/>
    <w:rsid w:val="00B452A5"/>
    <w:rsid w:val="00B91B36"/>
    <w:rsid w:val="00BC40C4"/>
    <w:rsid w:val="00C460CE"/>
    <w:rsid w:val="00CB3872"/>
    <w:rsid w:val="00D06562"/>
    <w:rsid w:val="00DA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BFF822-6F6B-439C-A75A-65D55DAF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D06562"/>
    <w:rPr>
      <w:i/>
      <w:iCs/>
    </w:rPr>
  </w:style>
  <w:style w:type="character" w:customStyle="1" w:styleId="apple-converted-space">
    <w:name w:val="apple-converted-space"/>
    <w:basedOn w:val="DefaultParagraphFont"/>
    <w:rsid w:val="00D06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552">
      <w:bodyDiv w:val="1"/>
      <w:marLeft w:val="0"/>
      <w:marRight w:val="0"/>
      <w:marTop w:val="0"/>
      <w:marBottom w:val="0"/>
      <w:divBdr>
        <w:top w:val="none" w:sz="0" w:space="0" w:color="auto"/>
        <w:left w:val="none" w:sz="0" w:space="0" w:color="auto"/>
        <w:bottom w:val="none" w:sz="0" w:space="0" w:color="auto"/>
        <w:right w:val="none" w:sz="0" w:space="0" w:color="auto"/>
      </w:divBdr>
    </w:div>
    <w:div w:id="154803504">
      <w:bodyDiv w:val="1"/>
      <w:marLeft w:val="0"/>
      <w:marRight w:val="0"/>
      <w:marTop w:val="0"/>
      <w:marBottom w:val="0"/>
      <w:divBdr>
        <w:top w:val="none" w:sz="0" w:space="0" w:color="auto"/>
        <w:left w:val="none" w:sz="0" w:space="0" w:color="auto"/>
        <w:bottom w:val="none" w:sz="0" w:space="0" w:color="auto"/>
        <w:right w:val="none" w:sz="0" w:space="0" w:color="auto"/>
      </w:divBdr>
      <w:divsChild>
        <w:div w:id="1417480233">
          <w:marLeft w:val="0"/>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572857883">
      <w:bodyDiv w:val="1"/>
      <w:marLeft w:val="0"/>
      <w:marRight w:val="0"/>
      <w:marTop w:val="0"/>
      <w:marBottom w:val="0"/>
      <w:divBdr>
        <w:top w:val="none" w:sz="0" w:space="0" w:color="auto"/>
        <w:left w:val="none" w:sz="0" w:space="0" w:color="auto"/>
        <w:bottom w:val="none" w:sz="0" w:space="0" w:color="auto"/>
        <w:right w:val="none" w:sz="0" w:space="0" w:color="auto"/>
      </w:divBdr>
    </w:div>
    <w:div w:id="1157497361">
      <w:bodyDiv w:val="1"/>
      <w:marLeft w:val="0"/>
      <w:marRight w:val="0"/>
      <w:marTop w:val="0"/>
      <w:marBottom w:val="0"/>
      <w:divBdr>
        <w:top w:val="none" w:sz="0" w:space="0" w:color="auto"/>
        <w:left w:val="none" w:sz="0" w:space="0" w:color="auto"/>
        <w:bottom w:val="none" w:sz="0" w:space="0" w:color="auto"/>
        <w:right w:val="none" w:sz="0" w:space="0" w:color="auto"/>
      </w:divBdr>
    </w:div>
    <w:div w:id="1651523539">
      <w:bodyDiv w:val="1"/>
      <w:marLeft w:val="0"/>
      <w:marRight w:val="0"/>
      <w:marTop w:val="0"/>
      <w:marBottom w:val="0"/>
      <w:divBdr>
        <w:top w:val="none" w:sz="0" w:space="0" w:color="auto"/>
        <w:left w:val="none" w:sz="0" w:space="0" w:color="auto"/>
        <w:bottom w:val="none" w:sz="0" w:space="0" w:color="auto"/>
        <w:right w:val="none" w:sz="0" w:space="0" w:color="auto"/>
      </w:divBdr>
    </w:div>
    <w:div w:id="1668558604">
      <w:bodyDiv w:val="1"/>
      <w:marLeft w:val="0"/>
      <w:marRight w:val="0"/>
      <w:marTop w:val="0"/>
      <w:marBottom w:val="0"/>
      <w:divBdr>
        <w:top w:val="none" w:sz="0" w:space="0" w:color="auto"/>
        <w:left w:val="none" w:sz="0" w:space="0" w:color="auto"/>
        <w:bottom w:val="none" w:sz="0" w:space="0" w:color="auto"/>
        <w:right w:val="none" w:sz="0" w:space="0" w:color="auto"/>
      </w:divBdr>
    </w:div>
    <w:div w:id="1851331190">
      <w:bodyDiv w:val="1"/>
      <w:marLeft w:val="0"/>
      <w:marRight w:val="0"/>
      <w:marTop w:val="0"/>
      <w:marBottom w:val="0"/>
      <w:divBdr>
        <w:top w:val="none" w:sz="0" w:space="0" w:color="auto"/>
        <w:left w:val="none" w:sz="0" w:space="0" w:color="auto"/>
        <w:bottom w:val="none" w:sz="0" w:space="0" w:color="auto"/>
        <w:right w:val="none" w:sz="0" w:space="0" w:color="auto"/>
      </w:divBdr>
    </w:div>
    <w:div w:id="19524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pico</dc:creator>
  <cp:keywords/>
  <dc:description/>
  <cp:lastModifiedBy>LY</cp:lastModifiedBy>
  <cp:revision>2</cp:revision>
  <dcterms:created xsi:type="dcterms:W3CDTF">2015-09-06T08:36:00Z</dcterms:created>
  <dcterms:modified xsi:type="dcterms:W3CDTF">2015-09-06T08:36:00Z</dcterms:modified>
</cp:coreProperties>
</file>