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8"/>
        <w:gridCol w:w="6234"/>
      </w:tblGrid>
      <w:tr w:rsidR="003F316B" w:rsidRPr="003F316B" w:rsidTr="003F316B">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3F316B" w:rsidRPr="003F316B" w:rsidRDefault="003F316B">
            <w:pPr>
              <w:pStyle w:val="NormalWeb"/>
              <w:spacing w:after="90" w:afterAutospacing="0" w:line="345" w:lineRule="atLeast"/>
              <w:jc w:val="center"/>
              <w:rPr>
                <w:rFonts w:ascii="Arial" w:hAnsi="Arial" w:cs="Arial"/>
                <w:color w:val="333333"/>
                <w:sz w:val="28"/>
                <w:szCs w:val="28"/>
              </w:rPr>
            </w:pPr>
            <w:bookmarkStart w:id="0" w:name="_GoBack"/>
            <w:bookmarkEnd w:id="0"/>
            <w:r w:rsidRPr="003F316B">
              <w:rPr>
                <w:rStyle w:val="Strong"/>
                <w:rFonts w:ascii="Arial" w:hAnsi="Arial" w:cs="Arial"/>
                <w:color w:val="333333"/>
                <w:sz w:val="28"/>
                <w:szCs w:val="28"/>
              </w:rPr>
              <w:t>BỘ GIÁO DỤC VÀ ĐÀO TẠO</w:t>
            </w:r>
            <w:r w:rsidRPr="003F316B">
              <w:rPr>
                <w:rFonts w:ascii="Arial" w:hAnsi="Arial" w:cs="Arial"/>
                <w:b/>
                <w:bCs/>
                <w:color w:val="333333"/>
                <w:sz w:val="28"/>
                <w:szCs w:val="28"/>
              </w:rPr>
              <w:br/>
            </w:r>
            <w:r w:rsidRPr="003F316B">
              <w:rPr>
                <w:rStyle w:val="Strong"/>
                <w:rFonts w:ascii="Arial" w:hAnsi="Arial" w:cs="Arial"/>
                <w:color w:val="333333"/>
                <w:sz w:val="28"/>
                <w:szCs w:val="28"/>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3F316B" w:rsidRPr="003F316B" w:rsidRDefault="003F316B">
            <w:pPr>
              <w:pStyle w:val="NormalWeb"/>
              <w:spacing w:after="90" w:afterAutospacing="0" w:line="345" w:lineRule="atLeast"/>
              <w:jc w:val="center"/>
              <w:rPr>
                <w:rFonts w:ascii="Arial" w:hAnsi="Arial" w:cs="Arial"/>
                <w:color w:val="333333"/>
                <w:sz w:val="28"/>
                <w:szCs w:val="28"/>
              </w:rPr>
            </w:pPr>
            <w:r w:rsidRPr="003F316B">
              <w:rPr>
                <w:rStyle w:val="Strong"/>
                <w:rFonts w:ascii="Arial" w:hAnsi="Arial" w:cs="Arial"/>
                <w:color w:val="333333"/>
                <w:sz w:val="28"/>
                <w:szCs w:val="28"/>
              </w:rPr>
              <w:t>CỘNG HÒA XÃ HỘI CHỦ NGHĨA VIỆT NAM</w:t>
            </w:r>
            <w:r w:rsidRPr="003F316B">
              <w:rPr>
                <w:rFonts w:ascii="Arial" w:hAnsi="Arial" w:cs="Arial"/>
                <w:b/>
                <w:bCs/>
                <w:color w:val="333333"/>
                <w:sz w:val="28"/>
                <w:szCs w:val="28"/>
              </w:rPr>
              <w:br/>
            </w:r>
            <w:r w:rsidRPr="003F316B">
              <w:rPr>
                <w:rStyle w:val="Strong"/>
                <w:rFonts w:ascii="Arial" w:hAnsi="Arial" w:cs="Arial"/>
                <w:color w:val="333333"/>
                <w:sz w:val="28"/>
                <w:szCs w:val="28"/>
              </w:rPr>
              <w:t>Độc lập - Tự do - Hạnh phúc</w:t>
            </w:r>
            <w:r w:rsidRPr="003F316B">
              <w:rPr>
                <w:rFonts w:ascii="Arial" w:hAnsi="Arial" w:cs="Arial"/>
                <w:b/>
                <w:bCs/>
                <w:color w:val="333333"/>
                <w:sz w:val="28"/>
                <w:szCs w:val="28"/>
              </w:rPr>
              <w:br/>
            </w:r>
            <w:r w:rsidRPr="003F316B">
              <w:rPr>
                <w:rStyle w:val="Strong"/>
                <w:rFonts w:ascii="Arial" w:hAnsi="Arial" w:cs="Arial"/>
                <w:color w:val="333333"/>
                <w:sz w:val="28"/>
                <w:szCs w:val="28"/>
              </w:rPr>
              <w:t>---------------</w:t>
            </w:r>
          </w:p>
        </w:tc>
      </w:tr>
      <w:tr w:rsidR="003F316B" w:rsidRPr="003F316B" w:rsidTr="003F316B">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3F316B" w:rsidRPr="003F316B" w:rsidRDefault="003F316B">
            <w:pPr>
              <w:pStyle w:val="NormalWeb"/>
              <w:spacing w:after="90" w:afterAutospacing="0" w:line="345" w:lineRule="atLeast"/>
              <w:jc w:val="center"/>
              <w:rPr>
                <w:rFonts w:ascii="Arial" w:hAnsi="Arial" w:cs="Arial"/>
                <w:color w:val="333333"/>
                <w:sz w:val="28"/>
                <w:szCs w:val="28"/>
              </w:rPr>
            </w:pPr>
            <w:r w:rsidRPr="003F316B">
              <w:rPr>
                <w:rFonts w:ascii="Arial" w:hAnsi="Arial" w:cs="Arial"/>
                <w:color w:val="333333"/>
                <w:sz w:val="28"/>
                <w:szCs w:val="28"/>
              </w:rPr>
              <w:t>Số: 05/2018/TT-BGDĐT</w:t>
            </w:r>
          </w:p>
        </w:tc>
        <w:tc>
          <w:tcPr>
            <w:tcW w:w="5505" w:type="dxa"/>
            <w:tcBorders>
              <w:top w:val="outset" w:sz="6" w:space="0" w:color="auto"/>
              <w:left w:val="outset" w:sz="6" w:space="0" w:color="auto"/>
              <w:bottom w:val="outset" w:sz="6" w:space="0" w:color="auto"/>
              <w:right w:val="outset" w:sz="6" w:space="0" w:color="auto"/>
            </w:tcBorders>
            <w:vAlign w:val="center"/>
            <w:hideMark/>
          </w:tcPr>
          <w:p w:rsidR="003F316B" w:rsidRPr="003F316B" w:rsidRDefault="003F316B">
            <w:pPr>
              <w:pStyle w:val="NormalWeb"/>
              <w:spacing w:after="90" w:afterAutospacing="0" w:line="345" w:lineRule="atLeast"/>
              <w:jc w:val="right"/>
              <w:rPr>
                <w:rFonts w:ascii="Arial" w:hAnsi="Arial" w:cs="Arial"/>
                <w:color w:val="333333"/>
                <w:sz w:val="28"/>
                <w:szCs w:val="28"/>
              </w:rPr>
            </w:pPr>
            <w:r w:rsidRPr="003F316B">
              <w:rPr>
                <w:rStyle w:val="Emphasis"/>
                <w:rFonts w:ascii="Arial" w:hAnsi="Arial" w:cs="Arial"/>
                <w:color w:val="333333"/>
                <w:sz w:val="28"/>
                <w:szCs w:val="28"/>
              </w:rPr>
              <w:t>Hà Nội, ngày 28 tháng 02 năm 2018</w:t>
            </w:r>
          </w:p>
        </w:tc>
      </w:tr>
    </w:tbl>
    <w:p w:rsidR="003F316B" w:rsidRPr="003F316B" w:rsidRDefault="003F316B" w:rsidP="003F316B">
      <w:pPr>
        <w:pStyle w:val="NormalWeb"/>
        <w:spacing w:after="90" w:afterAutospacing="0" w:line="345" w:lineRule="atLeast"/>
        <w:rPr>
          <w:rFonts w:ascii="Arial" w:eastAsia="Calibri" w:hAnsi="Arial" w:cs="Arial"/>
          <w:color w:val="333333"/>
          <w:sz w:val="28"/>
          <w:szCs w:val="28"/>
        </w:rPr>
      </w:pPr>
    </w:p>
    <w:p w:rsidR="003F316B" w:rsidRPr="003F316B" w:rsidRDefault="003F316B" w:rsidP="003F316B">
      <w:pPr>
        <w:pStyle w:val="Heading2"/>
        <w:jc w:val="center"/>
        <w:rPr>
          <w:rFonts w:eastAsia="Times New Roman" w:cs="Arial"/>
          <w:b w:val="0"/>
          <w:color w:val="333333"/>
          <w:szCs w:val="28"/>
        </w:rPr>
      </w:pPr>
      <w:r w:rsidRPr="003F316B">
        <w:rPr>
          <w:rStyle w:val="Strong"/>
          <w:rFonts w:eastAsia="Times New Roman" w:cs="Arial"/>
          <w:b/>
          <w:bCs w:val="0"/>
          <w:color w:val="333333"/>
          <w:szCs w:val="28"/>
        </w:rPr>
        <w:t>THÔNG TƯ</w:t>
      </w:r>
    </w:p>
    <w:p w:rsidR="003F316B" w:rsidRPr="003F316B" w:rsidRDefault="003F316B" w:rsidP="003F316B">
      <w:pPr>
        <w:pStyle w:val="Heading2"/>
        <w:jc w:val="center"/>
        <w:rPr>
          <w:rFonts w:eastAsia="Times New Roman" w:cs="Arial"/>
          <w:b w:val="0"/>
          <w:bCs/>
          <w:color w:val="333333"/>
          <w:szCs w:val="28"/>
        </w:rPr>
      </w:pPr>
      <w:r w:rsidRPr="003F316B">
        <w:rPr>
          <w:rStyle w:val="Strong"/>
          <w:rFonts w:eastAsia="Times New Roman" w:cs="Arial"/>
          <w:b/>
          <w:bCs w:val="0"/>
          <w:color w:val="333333"/>
          <w:szCs w:val="28"/>
        </w:rPr>
        <w:t>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w:t>
      </w:r>
    </w:p>
    <w:p w:rsidR="003F316B" w:rsidRPr="003F316B" w:rsidRDefault="003F316B" w:rsidP="003F316B">
      <w:pPr>
        <w:pStyle w:val="NormalWeb"/>
        <w:spacing w:after="90" w:afterAutospacing="0" w:line="345" w:lineRule="atLeast"/>
        <w:rPr>
          <w:rFonts w:ascii="Arial" w:eastAsia="Calibri" w:hAnsi="Arial" w:cs="Arial"/>
          <w:color w:val="333333"/>
          <w:sz w:val="28"/>
          <w:szCs w:val="28"/>
        </w:rPr>
      </w:pP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Style w:val="Emphasis"/>
          <w:rFonts w:ascii="Arial" w:hAnsi="Arial" w:cs="Arial"/>
          <w:color w:val="333333"/>
          <w:sz w:val="28"/>
          <w:szCs w:val="28"/>
        </w:rPr>
        <w:t>Căn cứ </w:t>
      </w:r>
      <w:hyperlink r:id="rId8" w:history="1">
        <w:r w:rsidRPr="003F316B">
          <w:rPr>
            <w:rStyle w:val="Hyperlink"/>
            <w:rFonts w:ascii="Arial" w:hAnsi="Arial" w:cs="Arial"/>
            <w:i/>
            <w:iCs/>
            <w:color w:val="0782C1"/>
            <w:sz w:val="28"/>
            <w:szCs w:val="28"/>
          </w:rPr>
          <w:t>Luật Giáo dục ngày 14 tháng 6 năm 2005</w:t>
        </w:r>
      </w:hyperlink>
      <w:r w:rsidRPr="003F316B">
        <w:rPr>
          <w:rStyle w:val="Emphasis"/>
          <w:rFonts w:ascii="Arial" w:hAnsi="Arial" w:cs="Arial"/>
          <w:color w:val="333333"/>
          <w:sz w:val="28"/>
          <w:szCs w:val="28"/>
        </w:rPr>
        <w:t>; </w:t>
      </w:r>
      <w:hyperlink r:id="rId9" w:history="1">
        <w:r w:rsidRPr="003F316B">
          <w:rPr>
            <w:rStyle w:val="Hyperlink"/>
            <w:rFonts w:ascii="Arial" w:hAnsi="Arial" w:cs="Arial"/>
            <w:i/>
            <w:iCs/>
            <w:color w:val="0782C1"/>
            <w:sz w:val="28"/>
            <w:szCs w:val="28"/>
          </w:rPr>
          <w:t>Luật sửa đổi, bổ sung một số Điều của Luật Giáo dục ngày 25 tháng 11 năm 2009</w:t>
        </w:r>
      </w:hyperlink>
      <w:r w:rsidRPr="003F316B">
        <w:rPr>
          <w:rStyle w:val="Emphasis"/>
          <w:rFonts w:ascii="Arial" w:hAnsi="Arial" w:cs="Arial"/>
          <w:color w:val="333333"/>
          <w:sz w:val="28"/>
          <w:szCs w:val="28"/>
        </w:rPr>
        <w:t>;</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Style w:val="Emphasis"/>
          <w:rFonts w:ascii="Arial" w:hAnsi="Arial" w:cs="Arial"/>
          <w:color w:val="333333"/>
          <w:sz w:val="28"/>
          <w:szCs w:val="28"/>
        </w:rPr>
        <w:t>Căn cứ Nghị định số 69/2017/NĐ-CP ngày 25 tháng 5 năm 2017 của Chính phủ quy định chức năng, nhiệm vụ, quyền hạn và cơ cấu tổ chức của Bộ Giáo dục và Đào tạo;</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Style w:val="Emphasis"/>
          <w:rFonts w:ascii="Arial" w:hAnsi="Arial" w:cs="Arial"/>
          <w:color w:val="333333"/>
          <w:sz w:val="28"/>
          <w:szCs w:val="28"/>
        </w:rPr>
        <w:t>Căn cứ </w:t>
      </w:r>
      <w:hyperlink r:id="rId10" w:history="1">
        <w:r w:rsidRPr="003F316B">
          <w:rPr>
            <w:rStyle w:val="Hyperlink"/>
            <w:rFonts w:ascii="Arial" w:hAnsi="Arial" w:cs="Arial"/>
            <w:i/>
            <w:iCs/>
            <w:color w:val="0782C1"/>
            <w:sz w:val="28"/>
            <w:szCs w:val="28"/>
          </w:rPr>
          <w:t>Nghị định số 75/2006/NĐ-CP</w:t>
        </w:r>
      </w:hyperlink>
      <w:r w:rsidRPr="003F316B">
        <w:rPr>
          <w:rStyle w:val="Emphasis"/>
          <w:rFonts w:ascii="Arial" w:hAnsi="Arial" w:cs="Arial"/>
          <w:color w:val="333333"/>
          <w:sz w:val="28"/>
          <w:szCs w:val="28"/>
        </w:rPr>
        <w:t>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w:t>
      </w:r>
      <w:hyperlink r:id="rId11" w:history="1">
        <w:r w:rsidRPr="003F316B">
          <w:rPr>
            <w:rStyle w:val="Hyperlink"/>
            <w:rFonts w:ascii="Arial" w:hAnsi="Arial" w:cs="Arial"/>
            <w:i/>
            <w:iCs/>
            <w:color w:val="0782C1"/>
            <w:sz w:val="28"/>
            <w:szCs w:val="28"/>
          </w:rPr>
          <w:t>Nghị định số 07/2013/NĐ-CP</w:t>
        </w:r>
      </w:hyperlink>
      <w:r w:rsidRPr="003F316B">
        <w:rPr>
          <w:rStyle w:val="Emphasis"/>
          <w:rFonts w:ascii="Arial" w:hAnsi="Arial" w:cs="Arial"/>
          <w:color w:val="333333"/>
          <w:sz w:val="28"/>
          <w:szCs w:val="28"/>
        </w:rPr>
        <w:t> ngày 09 tháng 01 năm 2013 của Chính phủ về việc sửa đổi điểm b Khoản 13 Điều 1 của Nghị định số 31/2011/NĐ-CP ngày 11 tháng 5 năm 2011 sửa đổi, bổ sung một số Điều của Nghị định 75/2006/NĐ-CP ngày 02 tháng 8 năm 2006 của Chính phủ quy định chi tiết và hướng dẫn thi hành một số Điều của Luật Giáo dục;</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Style w:val="Emphasis"/>
          <w:rFonts w:ascii="Arial" w:hAnsi="Arial" w:cs="Arial"/>
          <w:color w:val="333333"/>
          <w:sz w:val="28"/>
          <w:szCs w:val="28"/>
        </w:rPr>
        <w:t>Căn cứ </w:t>
      </w:r>
      <w:hyperlink r:id="rId12" w:history="1">
        <w:r w:rsidRPr="003F316B">
          <w:rPr>
            <w:rStyle w:val="Hyperlink"/>
            <w:rFonts w:ascii="Arial" w:hAnsi="Arial" w:cs="Arial"/>
            <w:i/>
            <w:iCs/>
            <w:color w:val="0782C1"/>
            <w:sz w:val="28"/>
            <w:szCs w:val="28"/>
          </w:rPr>
          <w:t>Nghị định số 115/2010/NĐ-CP </w:t>
        </w:r>
      </w:hyperlink>
      <w:r w:rsidRPr="003F316B">
        <w:rPr>
          <w:rStyle w:val="Emphasis"/>
          <w:rFonts w:ascii="Arial" w:hAnsi="Arial" w:cs="Arial"/>
          <w:color w:val="333333"/>
          <w:sz w:val="28"/>
          <w:szCs w:val="28"/>
        </w:rPr>
        <w:t>ngày 24 tháng 12 năm 2010 của Chính phủ quy định trách nhiệm quản lý nhà nước về giáo dục;</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Style w:val="Emphasis"/>
          <w:rFonts w:ascii="Arial" w:hAnsi="Arial" w:cs="Arial"/>
          <w:color w:val="333333"/>
          <w:sz w:val="28"/>
          <w:szCs w:val="28"/>
        </w:rPr>
        <w:lastRenderedPageBreak/>
        <w:t>Theo đề nghị của Vụ trưởng Vụ Giáo dục Trung học,</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Style w:val="Emphasis"/>
          <w:rFonts w:ascii="Arial" w:hAnsi="Arial" w:cs="Arial"/>
          <w:color w:val="333333"/>
          <w:sz w:val="28"/>
          <w:szCs w:val="28"/>
        </w:rPr>
        <w:t>Bộ trưởng Bộ Giáo dục và Đào tạo ban hành Thông tư sửa đổi, bổ sung Khoản 1 Điều 2, Khoản 2 Điều 4, điểm d Khoản 1 và đoạn đầu Khoản 2 Điều 7 của Quy chế tuyển sinh trung học cơ sở và tuyển sinh trung học phổ thông ban hành kèm theo Thông tư số 11/2014/TT-BGDĐT ngày 18 năm 4 năm 2014 của Bộ trưởng Bộ Giáo dục và Đào tạo.</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Style w:val="Strong"/>
          <w:rFonts w:ascii="Arial" w:hAnsi="Arial" w:cs="Arial"/>
          <w:color w:val="333333"/>
          <w:sz w:val="28"/>
          <w:szCs w:val="28"/>
        </w:rPr>
        <w:t>Điều 1.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 như sau:</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Fonts w:ascii="Arial" w:hAnsi="Arial" w:cs="Arial"/>
          <w:color w:val="333333"/>
          <w:sz w:val="28"/>
          <w:szCs w:val="28"/>
        </w:rPr>
        <w:t>1. Khoản 1 Điều 2 được sửa đổi, bổ sung như sau:</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Fonts w:ascii="Arial" w:hAnsi="Arial" w:cs="Arial"/>
          <w:color w:val="333333"/>
          <w:sz w:val="28"/>
          <w:szCs w:val="28"/>
        </w:rPr>
        <w:t>"1. Hằng năm, tổ chức một lần tuyển sinh vào trung học cơ sở và trung học phổ thông; việc tuyển sinh vào trung học cơ sở, trung học phổ thông bảo đảm chính xác, công bằng, khách quan, thực hiện nhiệm vụ phổ cập giáo dục trung học cơ sở trên địa bàn."</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Fonts w:ascii="Arial" w:hAnsi="Arial" w:cs="Arial"/>
          <w:color w:val="333333"/>
          <w:sz w:val="28"/>
          <w:szCs w:val="28"/>
        </w:rPr>
        <w:t>2. Khoản 2 Điều 4 được sửa đổi, bổ sung như sau:</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Fonts w:ascii="Arial" w:hAnsi="Arial" w:cs="Arial"/>
          <w:color w:val="333333"/>
          <w:sz w:val="28"/>
          <w:szCs w:val="28"/>
        </w:rPr>
        <w:t>"2. Tuyển sinh trung học cơ sở theo phương thức xét tuyển. Trường hợp cơ sở giáo dục có số học sinh đăng ký vào học lớp 6 nhiều hơn chỉ tiêu tuyển sinh, sở giáo dục và đào tạo hướng dẫn thực hiện phương án tuyển sinh theo phương thức xét tuyển hoặc kết hợp xét tuyển với kiểm tra, đánh giá năng lực học sinh."</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Fonts w:ascii="Arial" w:hAnsi="Arial" w:cs="Arial"/>
          <w:color w:val="333333"/>
          <w:sz w:val="28"/>
          <w:szCs w:val="28"/>
        </w:rPr>
        <w:t>3. Điểm d Khoản 1 Điều 7 được sửa đổi, bổ sung như sau:</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Fonts w:ascii="Arial" w:hAnsi="Arial" w:cs="Arial"/>
          <w:color w:val="333333"/>
          <w:sz w:val="28"/>
          <w:szCs w:val="28"/>
        </w:rPr>
        <w:t>"d) Học sinh đạt giải cấp quốc gia và quốc tế về văn hóa; văn nghệ; thể dục thể thao; Cuộc thi khoa học, kỹ thuật cấp quốc gia dành cho học sinh trung học cơ sở và trung học phổ thông."</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Fonts w:ascii="Arial" w:hAnsi="Arial" w:cs="Arial"/>
          <w:color w:val="333333"/>
          <w:sz w:val="28"/>
          <w:szCs w:val="28"/>
        </w:rPr>
        <w:t>4. Đoạn đầu Khoản 2 Điều 7 được sửa đổi, bổ sung như sau:</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Fonts w:ascii="Arial" w:hAnsi="Arial" w:cs="Arial"/>
          <w:color w:val="333333"/>
          <w:sz w:val="28"/>
          <w:szCs w:val="28"/>
        </w:rPr>
        <w:t xml:space="preserve">"Sở giáo dục và đào tạo quy định mức điểm cộng thêm cho từng nhóm đối tượng được cộng điểm ưu tiên với mức chênh lệch điểm cộng thêm giữa </w:t>
      </w:r>
      <w:r w:rsidRPr="003F316B">
        <w:rPr>
          <w:rFonts w:ascii="Arial" w:hAnsi="Arial" w:cs="Arial"/>
          <w:color w:val="333333"/>
          <w:sz w:val="28"/>
          <w:szCs w:val="28"/>
        </w:rPr>
        <w:lastRenderedPageBreak/>
        <w:t>hai nhóm đối tượng được ưu tiên kế tiếp là 0,5 điểm tính theo thang điểm 10, gồm:"</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Style w:val="Strong"/>
          <w:rFonts w:ascii="Arial" w:hAnsi="Arial" w:cs="Arial"/>
          <w:color w:val="333333"/>
          <w:sz w:val="28"/>
          <w:szCs w:val="28"/>
        </w:rPr>
        <w:t>Điều 2. </w:t>
      </w:r>
      <w:r w:rsidRPr="003F316B">
        <w:rPr>
          <w:rFonts w:ascii="Arial" w:hAnsi="Arial" w:cs="Arial"/>
          <w:color w:val="333333"/>
          <w:sz w:val="28"/>
          <w:szCs w:val="28"/>
        </w:rPr>
        <w:t>Bãi bỏ Khoản 3 Điều 7; cụm từ "khuyến khích" tại Khoản 4 Điều 6, tên Điều 7 và Khoản 1 Điều 10.</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Style w:val="Strong"/>
          <w:rFonts w:ascii="Arial" w:hAnsi="Arial" w:cs="Arial"/>
          <w:color w:val="333333"/>
          <w:sz w:val="28"/>
          <w:szCs w:val="28"/>
        </w:rPr>
        <w:t>Điều 3.</w:t>
      </w:r>
      <w:r w:rsidRPr="003F316B">
        <w:rPr>
          <w:rFonts w:ascii="Arial" w:hAnsi="Arial" w:cs="Arial"/>
          <w:color w:val="333333"/>
          <w:sz w:val="28"/>
          <w:szCs w:val="28"/>
        </w:rPr>
        <w:t> Thông tư này có hiệu lực kể từ ngày 15 tháng 4 năm 2018. Các sở giáo dục và đào tạo có quy định cộng điểm khuyến khích đối với học sinh thi nghề phổ thông thì tiếp tục áp dụng tuyển sinh năm học 2018-2019.</w:t>
      </w:r>
    </w:p>
    <w:p w:rsidR="003F316B" w:rsidRPr="003F316B" w:rsidRDefault="003F316B" w:rsidP="003F316B">
      <w:pPr>
        <w:pStyle w:val="NormalWeb"/>
        <w:spacing w:after="90" w:afterAutospacing="0" w:line="345" w:lineRule="atLeast"/>
        <w:rPr>
          <w:rFonts w:ascii="Arial" w:hAnsi="Arial" w:cs="Arial"/>
          <w:color w:val="333333"/>
          <w:sz w:val="28"/>
          <w:szCs w:val="28"/>
        </w:rPr>
      </w:pPr>
      <w:r w:rsidRPr="003F316B">
        <w:rPr>
          <w:rStyle w:val="Strong"/>
          <w:rFonts w:ascii="Arial" w:hAnsi="Arial" w:cs="Arial"/>
          <w:color w:val="333333"/>
          <w:sz w:val="28"/>
          <w:szCs w:val="28"/>
        </w:rPr>
        <w:t>Điều 4.</w:t>
      </w:r>
      <w:r w:rsidRPr="003F316B">
        <w:rPr>
          <w:rFonts w:ascii="Arial" w:hAnsi="Arial" w:cs="Arial"/>
          <w:color w:val="333333"/>
          <w:sz w:val="28"/>
          <w:szCs w:val="28"/>
        </w:rPr>
        <w:t> Chánh Văn phòng, Vụ trưởng Vụ Giáo dục Trung học, Vụ trưởng Vụ Giáo dục Tiểu học, Vụ trưởng Vụ Giáo dục thường xuyên, Thủ trưởng các đơn vị có liên quan thuộc Bộ Giáo dục và Đào tạo, Chủ tịch Ủy ban nhân dân tỉnh, thành phố trực thuộc Trung ương, Giám đốc sở giáo dục và đào tạo chịu trách nhiệm thi hành Thông tư này./.</w:t>
      </w:r>
    </w:p>
    <w:tbl>
      <w:tblPr>
        <w:tblW w:w="100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3"/>
        <w:gridCol w:w="4579"/>
      </w:tblGrid>
      <w:tr w:rsidR="003F316B" w:rsidRPr="003F316B" w:rsidTr="003F316B">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3F316B" w:rsidRPr="003F316B" w:rsidRDefault="003F316B">
            <w:pPr>
              <w:pStyle w:val="NormalWeb"/>
              <w:spacing w:after="90" w:afterAutospacing="0" w:line="345" w:lineRule="atLeast"/>
              <w:rPr>
                <w:rFonts w:ascii="Arial" w:hAnsi="Arial" w:cs="Arial"/>
                <w:color w:val="333333"/>
                <w:sz w:val="28"/>
                <w:szCs w:val="28"/>
              </w:rPr>
            </w:pPr>
            <w:r w:rsidRPr="003F316B">
              <w:rPr>
                <w:rStyle w:val="Emphasis"/>
                <w:rFonts w:ascii="Arial" w:hAnsi="Arial" w:cs="Arial"/>
                <w:b/>
                <w:bCs/>
                <w:color w:val="333333"/>
                <w:sz w:val="28"/>
                <w:szCs w:val="28"/>
              </w:rPr>
              <w:t>Nơi nhận:</w:t>
            </w:r>
            <w:r w:rsidRPr="003F316B">
              <w:rPr>
                <w:rFonts w:ascii="Arial" w:hAnsi="Arial" w:cs="Arial"/>
                <w:color w:val="333333"/>
                <w:sz w:val="28"/>
                <w:szCs w:val="28"/>
              </w:rPr>
              <w:br/>
              <w:t>- Văn phòng Quốc hội (để báo cáo);</w:t>
            </w:r>
            <w:r w:rsidRPr="003F316B">
              <w:rPr>
                <w:rFonts w:ascii="MingLiU" w:eastAsia="MingLiU" w:hAnsi="MingLiU" w:cs="MingLiU"/>
                <w:color w:val="333333"/>
                <w:sz w:val="28"/>
                <w:szCs w:val="28"/>
              </w:rPr>
              <w:br/>
            </w:r>
            <w:r w:rsidRPr="003F316B">
              <w:rPr>
                <w:rFonts w:ascii="Arial" w:hAnsi="Arial" w:cs="Arial"/>
                <w:color w:val="333333"/>
                <w:sz w:val="28"/>
                <w:szCs w:val="28"/>
              </w:rPr>
              <w:t>- Văn phòng Chính phủ (để báo cáo);</w:t>
            </w:r>
            <w:r w:rsidRPr="003F316B">
              <w:rPr>
                <w:rFonts w:ascii="MingLiU" w:eastAsia="MingLiU" w:hAnsi="MingLiU" w:cs="MingLiU"/>
                <w:color w:val="333333"/>
                <w:sz w:val="28"/>
                <w:szCs w:val="28"/>
              </w:rPr>
              <w:br/>
            </w:r>
            <w:r w:rsidRPr="003F316B">
              <w:rPr>
                <w:rFonts w:ascii="Arial" w:hAnsi="Arial" w:cs="Arial"/>
                <w:color w:val="333333"/>
                <w:sz w:val="28"/>
                <w:szCs w:val="28"/>
              </w:rPr>
              <w:t>- Uỷ ban VHGD TNTNNĐ của Quốc hội (để báo cáo);</w:t>
            </w:r>
            <w:r w:rsidRPr="003F316B">
              <w:rPr>
                <w:rFonts w:ascii="MingLiU" w:eastAsia="MingLiU" w:hAnsi="MingLiU" w:cs="MingLiU"/>
                <w:color w:val="333333"/>
                <w:sz w:val="28"/>
                <w:szCs w:val="28"/>
              </w:rPr>
              <w:br/>
            </w:r>
            <w:r w:rsidRPr="003F316B">
              <w:rPr>
                <w:rFonts w:ascii="Arial" w:hAnsi="Arial" w:cs="Arial"/>
                <w:color w:val="333333"/>
                <w:sz w:val="28"/>
                <w:szCs w:val="28"/>
              </w:rPr>
              <w:t>- Ban Tuyên giáo Trung ương (để báo cáo);</w:t>
            </w:r>
            <w:r w:rsidRPr="003F316B">
              <w:rPr>
                <w:rFonts w:ascii="MingLiU" w:eastAsia="MingLiU" w:hAnsi="MingLiU" w:cs="MingLiU"/>
                <w:color w:val="333333"/>
                <w:sz w:val="28"/>
                <w:szCs w:val="28"/>
              </w:rPr>
              <w:br/>
            </w:r>
            <w:r w:rsidRPr="003F316B">
              <w:rPr>
                <w:rFonts w:ascii="Arial" w:hAnsi="Arial" w:cs="Arial"/>
                <w:color w:val="333333"/>
                <w:sz w:val="28"/>
                <w:szCs w:val="28"/>
              </w:rPr>
              <w:t>- Bộ trưởng (để báo cáo);</w:t>
            </w:r>
            <w:r w:rsidRPr="003F316B">
              <w:rPr>
                <w:rFonts w:ascii="MingLiU" w:eastAsia="MingLiU" w:hAnsi="MingLiU" w:cs="MingLiU"/>
                <w:color w:val="333333"/>
                <w:sz w:val="28"/>
                <w:szCs w:val="28"/>
              </w:rPr>
              <w:br/>
            </w:r>
            <w:r w:rsidRPr="003F316B">
              <w:rPr>
                <w:rFonts w:ascii="Arial" w:hAnsi="Arial" w:cs="Arial"/>
                <w:color w:val="333333"/>
                <w:sz w:val="28"/>
                <w:szCs w:val="28"/>
              </w:rPr>
              <w:t>- Cục Kiểm tra văn bản QPPL (Bộ Tư pháp);</w:t>
            </w:r>
            <w:r w:rsidRPr="003F316B">
              <w:rPr>
                <w:rFonts w:ascii="MingLiU" w:eastAsia="MingLiU" w:hAnsi="MingLiU" w:cs="MingLiU"/>
                <w:color w:val="333333"/>
                <w:sz w:val="28"/>
                <w:szCs w:val="28"/>
              </w:rPr>
              <w:br/>
            </w:r>
            <w:r w:rsidRPr="003F316B">
              <w:rPr>
                <w:rFonts w:ascii="Arial" w:hAnsi="Arial" w:cs="Arial"/>
                <w:color w:val="333333"/>
                <w:sz w:val="28"/>
                <w:szCs w:val="28"/>
              </w:rPr>
              <w:t>- Các UBND tỉnh, thành phố trực thuộc TW (để thực hiện);</w:t>
            </w:r>
            <w:r w:rsidRPr="003F316B">
              <w:rPr>
                <w:rFonts w:ascii="MingLiU" w:eastAsia="MingLiU" w:hAnsi="MingLiU" w:cs="MingLiU"/>
                <w:color w:val="333333"/>
                <w:sz w:val="28"/>
                <w:szCs w:val="28"/>
              </w:rPr>
              <w:br/>
            </w:r>
            <w:r w:rsidRPr="003F316B">
              <w:rPr>
                <w:rFonts w:ascii="Arial" w:hAnsi="Arial" w:cs="Arial"/>
                <w:color w:val="333333"/>
                <w:sz w:val="28"/>
                <w:szCs w:val="28"/>
              </w:rPr>
              <w:t>- Như Điều 3;</w:t>
            </w:r>
            <w:r w:rsidRPr="003F316B">
              <w:rPr>
                <w:rFonts w:ascii="MingLiU" w:eastAsia="MingLiU" w:hAnsi="MingLiU" w:cs="MingLiU"/>
                <w:color w:val="333333"/>
                <w:sz w:val="28"/>
                <w:szCs w:val="28"/>
              </w:rPr>
              <w:br/>
            </w:r>
            <w:r w:rsidRPr="003F316B">
              <w:rPr>
                <w:rFonts w:ascii="Arial" w:hAnsi="Arial" w:cs="Arial"/>
                <w:color w:val="333333"/>
                <w:sz w:val="28"/>
                <w:szCs w:val="28"/>
              </w:rPr>
              <w:t>- Công báo;</w:t>
            </w:r>
            <w:r w:rsidRPr="003F316B">
              <w:rPr>
                <w:rFonts w:ascii="MingLiU" w:eastAsia="MingLiU" w:hAnsi="MingLiU" w:cs="MingLiU"/>
                <w:color w:val="333333"/>
                <w:sz w:val="28"/>
                <w:szCs w:val="28"/>
              </w:rPr>
              <w:br/>
            </w:r>
            <w:r w:rsidRPr="003F316B">
              <w:rPr>
                <w:rFonts w:ascii="Arial" w:hAnsi="Arial" w:cs="Arial"/>
                <w:color w:val="333333"/>
                <w:sz w:val="28"/>
                <w:szCs w:val="28"/>
              </w:rPr>
              <w:t>- Website Chính phủ;</w:t>
            </w:r>
            <w:r w:rsidRPr="003F316B">
              <w:rPr>
                <w:rFonts w:ascii="MingLiU" w:eastAsia="MingLiU" w:hAnsi="MingLiU" w:cs="MingLiU"/>
                <w:color w:val="333333"/>
                <w:sz w:val="28"/>
                <w:szCs w:val="28"/>
              </w:rPr>
              <w:br/>
            </w:r>
            <w:r w:rsidRPr="003F316B">
              <w:rPr>
                <w:rFonts w:ascii="Arial" w:hAnsi="Arial" w:cs="Arial"/>
                <w:color w:val="333333"/>
                <w:sz w:val="28"/>
                <w:szCs w:val="28"/>
              </w:rPr>
              <w:t>- Website Bộ GD&amp;ĐT;</w:t>
            </w:r>
            <w:r w:rsidRPr="003F316B">
              <w:rPr>
                <w:rFonts w:ascii="MingLiU" w:eastAsia="MingLiU" w:hAnsi="MingLiU" w:cs="MingLiU"/>
                <w:color w:val="333333"/>
                <w:sz w:val="28"/>
                <w:szCs w:val="28"/>
              </w:rPr>
              <w:br/>
            </w:r>
            <w:r w:rsidRPr="003F316B">
              <w:rPr>
                <w:rFonts w:ascii="Arial" w:hAnsi="Arial" w:cs="Arial"/>
                <w:color w:val="333333"/>
                <w:sz w:val="28"/>
                <w:szCs w:val="28"/>
              </w:rPr>
              <w:t>- Lưu VT, Vụ PC, Vụ GDTrH.</w:t>
            </w:r>
          </w:p>
        </w:tc>
        <w:tc>
          <w:tcPr>
            <w:tcW w:w="4050" w:type="dxa"/>
            <w:tcBorders>
              <w:top w:val="outset" w:sz="6" w:space="0" w:color="auto"/>
              <w:left w:val="outset" w:sz="6" w:space="0" w:color="auto"/>
              <w:bottom w:val="outset" w:sz="6" w:space="0" w:color="auto"/>
              <w:right w:val="outset" w:sz="6" w:space="0" w:color="auto"/>
            </w:tcBorders>
            <w:vAlign w:val="center"/>
            <w:hideMark/>
          </w:tcPr>
          <w:p w:rsidR="003F316B" w:rsidRPr="003F316B" w:rsidRDefault="003F316B">
            <w:pPr>
              <w:pStyle w:val="NormalWeb"/>
              <w:spacing w:after="90" w:afterAutospacing="0" w:line="345" w:lineRule="atLeast"/>
              <w:jc w:val="center"/>
              <w:rPr>
                <w:rFonts w:ascii="Arial" w:hAnsi="Arial" w:cs="Arial"/>
                <w:color w:val="333333"/>
                <w:sz w:val="28"/>
                <w:szCs w:val="28"/>
              </w:rPr>
            </w:pPr>
            <w:r w:rsidRPr="003F316B">
              <w:rPr>
                <w:rStyle w:val="Strong"/>
                <w:rFonts w:ascii="Arial" w:hAnsi="Arial" w:cs="Arial"/>
                <w:color w:val="333333"/>
                <w:sz w:val="28"/>
                <w:szCs w:val="28"/>
              </w:rPr>
              <w:t>KT. BỘ TRƯỞNG</w:t>
            </w:r>
            <w:r w:rsidRPr="003F316B">
              <w:rPr>
                <w:rFonts w:ascii="Arial" w:hAnsi="Arial" w:cs="Arial"/>
                <w:b/>
                <w:bCs/>
                <w:color w:val="333333"/>
                <w:sz w:val="28"/>
                <w:szCs w:val="28"/>
              </w:rPr>
              <w:br/>
            </w:r>
            <w:r w:rsidRPr="003F316B">
              <w:rPr>
                <w:rStyle w:val="Strong"/>
                <w:rFonts w:ascii="Arial" w:hAnsi="Arial" w:cs="Arial"/>
                <w:color w:val="333333"/>
                <w:sz w:val="28"/>
                <w:szCs w:val="28"/>
              </w:rPr>
              <w:t>THỨ TRƯỞNG</w:t>
            </w:r>
            <w:r w:rsidRPr="003F316B">
              <w:rPr>
                <w:rFonts w:ascii="Arial" w:hAnsi="Arial" w:cs="Arial"/>
                <w:b/>
                <w:bCs/>
                <w:color w:val="333333"/>
                <w:sz w:val="28"/>
                <w:szCs w:val="28"/>
              </w:rPr>
              <w:br/>
            </w:r>
            <w:r w:rsidRPr="003F316B">
              <w:rPr>
                <w:rFonts w:ascii="Arial" w:hAnsi="Arial" w:cs="Arial"/>
                <w:b/>
                <w:bCs/>
                <w:color w:val="333333"/>
                <w:sz w:val="28"/>
                <w:szCs w:val="28"/>
              </w:rPr>
              <w:br/>
            </w:r>
            <w:r w:rsidRPr="003F316B">
              <w:rPr>
                <w:rFonts w:ascii="Arial" w:hAnsi="Arial" w:cs="Arial"/>
                <w:b/>
                <w:bCs/>
                <w:color w:val="333333"/>
                <w:sz w:val="28"/>
                <w:szCs w:val="28"/>
              </w:rPr>
              <w:br/>
            </w:r>
            <w:r w:rsidRPr="003F316B">
              <w:rPr>
                <w:rFonts w:ascii="Arial" w:hAnsi="Arial" w:cs="Arial"/>
                <w:b/>
                <w:bCs/>
                <w:color w:val="333333"/>
                <w:sz w:val="28"/>
                <w:szCs w:val="28"/>
              </w:rPr>
              <w:br/>
            </w:r>
            <w:r w:rsidRPr="003F316B">
              <w:rPr>
                <w:rFonts w:ascii="Arial" w:hAnsi="Arial" w:cs="Arial"/>
                <w:b/>
                <w:bCs/>
                <w:color w:val="333333"/>
                <w:sz w:val="28"/>
                <w:szCs w:val="28"/>
              </w:rPr>
              <w:br/>
            </w:r>
            <w:r w:rsidRPr="003F316B">
              <w:rPr>
                <w:rStyle w:val="Strong"/>
                <w:rFonts w:ascii="Arial" w:hAnsi="Arial" w:cs="Arial"/>
                <w:color w:val="333333"/>
                <w:sz w:val="28"/>
                <w:szCs w:val="28"/>
              </w:rPr>
              <w:t>Nguyễn Hữu Độ</w:t>
            </w:r>
          </w:p>
        </w:tc>
      </w:tr>
    </w:tbl>
    <w:p w:rsidR="003F316B" w:rsidRPr="003F316B" w:rsidRDefault="003F316B" w:rsidP="003F316B">
      <w:pPr>
        <w:rPr>
          <w:rFonts w:ascii="Times New Roman" w:eastAsia="Times New Roman" w:hAnsi="Times New Roman"/>
          <w:sz w:val="28"/>
          <w:szCs w:val="28"/>
        </w:rPr>
      </w:pPr>
    </w:p>
    <w:p w:rsidR="00266947" w:rsidRPr="003F316B" w:rsidRDefault="00266947" w:rsidP="003F316B">
      <w:pPr>
        <w:rPr>
          <w:sz w:val="28"/>
          <w:szCs w:val="28"/>
        </w:rPr>
      </w:pPr>
    </w:p>
    <w:sectPr w:rsidR="00266947" w:rsidRPr="003F316B"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BFA" w:rsidRDefault="00961BFA" w:rsidP="007446EA">
      <w:pPr>
        <w:spacing w:after="0" w:line="240" w:lineRule="auto"/>
      </w:pPr>
      <w:r>
        <w:separator/>
      </w:r>
    </w:p>
  </w:endnote>
  <w:endnote w:type="continuationSeparator" w:id="0">
    <w:p w:rsidR="00961BFA" w:rsidRDefault="00961BF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FA" w:rsidRDefault="00E47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9368E" w:rsidRDefault="0029368E" w:rsidP="0029368E">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FA" w:rsidRDefault="00E47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BFA" w:rsidRDefault="00961BFA" w:rsidP="007446EA">
      <w:pPr>
        <w:spacing w:after="0" w:line="240" w:lineRule="auto"/>
      </w:pPr>
      <w:r>
        <w:separator/>
      </w:r>
    </w:p>
  </w:footnote>
  <w:footnote w:type="continuationSeparator" w:id="0">
    <w:p w:rsidR="00961BFA" w:rsidRDefault="00961BFA"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FA" w:rsidRDefault="00E47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9368E" w:rsidRDefault="0029368E" w:rsidP="0029368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FA" w:rsidRDefault="00E47D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6"/>
  </w:num>
  <w:num w:numId="4">
    <w:abstractNumId w:val="18"/>
  </w:num>
  <w:num w:numId="5">
    <w:abstractNumId w:val="20"/>
  </w:num>
  <w:num w:numId="6">
    <w:abstractNumId w:val="3"/>
  </w:num>
  <w:num w:numId="7">
    <w:abstractNumId w:val="4"/>
  </w:num>
  <w:num w:numId="8">
    <w:abstractNumId w:val="22"/>
  </w:num>
  <w:num w:numId="9">
    <w:abstractNumId w:val="28"/>
  </w:num>
  <w:num w:numId="10">
    <w:abstractNumId w:val="12"/>
  </w:num>
  <w:num w:numId="11">
    <w:abstractNumId w:val="17"/>
  </w:num>
  <w:num w:numId="12">
    <w:abstractNumId w:val="19"/>
  </w:num>
  <w:num w:numId="13">
    <w:abstractNumId w:val="7"/>
  </w:num>
  <w:num w:numId="14">
    <w:abstractNumId w:val="25"/>
  </w:num>
  <w:num w:numId="15">
    <w:abstractNumId w:val="21"/>
  </w:num>
  <w:num w:numId="16">
    <w:abstractNumId w:val="24"/>
  </w:num>
  <w:num w:numId="17">
    <w:abstractNumId w:val="8"/>
  </w:num>
  <w:num w:numId="18">
    <w:abstractNumId w:val="11"/>
  </w:num>
  <w:num w:numId="19">
    <w:abstractNumId w:val="9"/>
  </w:num>
  <w:num w:numId="20">
    <w:abstractNumId w:val="6"/>
  </w:num>
  <w:num w:numId="21">
    <w:abstractNumId w:val="15"/>
  </w:num>
  <w:num w:numId="22">
    <w:abstractNumId w:val="1"/>
  </w:num>
  <w:num w:numId="23">
    <w:abstractNumId w:val="10"/>
  </w:num>
  <w:num w:numId="24">
    <w:abstractNumId w:val="29"/>
  </w:num>
  <w:num w:numId="25">
    <w:abstractNumId w:val="26"/>
  </w:num>
  <w:num w:numId="26">
    <w:abstractNumId w:val="2"/>
  </w:num>
  <w:num w:numId="27">
    <w:abstractNumId w:val="27"/>
  </w:num>
  <w:num w:numId="28">
    <w:abstractNumId w:val="0"/>
  </w:num>
  <w:num w:numId="29">
    <w:abstractNumId w:val="14"/>
  </w:num>
  <w:num w:numId="3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5222"/>
    <w:rsid w:val="00035774"/>
    <w:rsid w:val="00035BFC"/>
    <w:rsid w:val="00037BBB"/>
    <w:rsid w:val="00060653"/>
    <w:rsid w:val="00065E4A"/>
    <w:rsid w:val="00071C91"/>
    <w:rsid w:val="0007342F"/>
    <w:rsid w:val="000749B1"/>
    <w:rsid w:val="0008367D"/>
    <w:rsid w:val="00083AB8"/>
    <w:rsid w:val="00087216"/>
    <w:rsid w:val="00091A75"/>
    <w:rsid w:val="00093E42"/>
    <w:rsid w:val="00094C20"/>
    <w:rsid w:val="000B4701"/>
    <w:rsid w:val="000B4D4B"/>
    <w:rsid w:val="000B6B5F"/>
    <w:rsid w:val="000C6379"/>
    <w:rsid w:val="000C6DC7"/>
    <w:rsid w:val="000C75E5"/>
    <w:rsid w:val="000C7865"/>
    <w:rsid w:val="000D51E6"/>
    <w:rsid w:val="000D5719"/>
    <w:rsid w:val="000E62BD"/>
    <w:rsid w:val="000E7D24"/>
    <w:rsid w:val="000F2D71"/>
    <w:rsid w:val="000F5473"/>
    <w:rsid w:val="00100E68"/>
    <w:rsid w:val="001038AF"/>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33E"/>
    <w:rsid w:val="001D2B43"/>
    <w:rsid w:val="001D44AA"/>
    <w:rsid w:val="001F0660"/>
    <w:rsid w:val="001F29B6"/>
    <w:rsid w:val="002050C7"/>
    <w:rsid w:val="0021062D"/>
    <w:rsid w:val="0021249F"/>
    <w:rsid w:val="00213087"/>
    <w:rsid w:val="002158D7"/>
    <w:rsid w:val="00216529"/>
    <w:rsid w:val="00226136"/>
    <w:rsid w:val="00234F8B"/>
    <w:rsid w:val="002437F5"/>
    <w:rsid w:val="002532B8"/>
    <w:rsid w:val="002562DC"/>
    <w:rsid w:val="00263ABC"/>
    <w:rsid w:val="00266947"/>
    <w:rsid w:val="00272DCA"/>
    <w:rsid w:val="00276A35"/>
    <w:rsid w:val="002812B9"/>
    <w:rsid w:val="00281DBE"/>
    <w:rsid w:val="00292C0F"/>
    <w:rsid w:val="0029368E"/>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52A1"/>
    <w:rsid w:val="002E5C08"/>
    <w:rsid w:val="002E7F34"/>
    <w:rsid w:val="002F2039"/>
    <w:rsid w:val="002F4060"/>
    <w:rsid w:val="002F7895"/>
    <w:rsid w:val="0030052D"/>
    <w:rsid w:val="00303A3B"/>
    <w:rsid w:val="00306F60"/>
    <w:rsid w:val="00307C63"/>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4CB0"/>
    <w:rsid w:val="00376902"/>
    <w:rsid w:val="003836E2"/>
    <w:rsid w:val="003A4326"/>
    <w:rsid w:val="003A73F7"/>
    <w:rsid w:val="003B2CE2"/>
    <w:rsid w:val="003B6EF4"/>
    <w:rsid w:val="003C01DF"/>
    <w:rsid w:val="003D1D2B"/>
    <w:rsid w:val="003D7299"/>
    <w:rsid w:val="003E608E"/>
    <w:rsid w:val="003F316B"/>
    <w:rsid w:val="003F3D9C"/>
    <w:rsid w:val="003F5265"/>
    <w:rsid w:val="003F5DA1"/>
    <w:rsid w:val="003F5E2A"/>
    <w:rsid w:val="004015BE"/>
    <w:rsid w:val="0041621A"/>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36FD"/>
    <w:rsid w:val="00533976"/>
    <w:rsid w:val="005410F3"/>
    <w:rsid w:val="00542C5E"/>
    <w:rsid w:val="00544F46"/>
    <w:rsid w:val="00552CC6"/>
    <w:rsid w:val="00554858"/>
    <w:rsid w:val="00563EA1"/>
    <w:rsid w:val="00566914"/>
    <w:rsid w:val="005730FA"/>
    <w:rsid w:val="00574B76"/>
    <w:rsid w:val="00590C46"/>
    <w:rsid w:val="00597CAF"/>
    <w:rsid w:val="005A2EB8"/>
    <w:rsid w:val="005A6144"/>
    <w:rsid w:val="005A6558"/>
    <w:rsid w:val="005B1C0A"/>
    <w:rsid w:val="005C263F"/>
    <w:rsid w:val="005C39B7"/>
    <w:rsid w:val="005D19DB"/>
    <w:rsid w:val="005D3032"/>
    <w:rsid w:val="005D6E75"/>
    <w:rsid w:val="006000CC"/>
    <w:rsid w:val="006045A4"/>
    <w:rsid w:val="006144E1"/>
    <w:rsid w:val="00621297"/>
    <w:rsid w:val="00625875"/>
    <w:rsid w:val="00635B52"/>
    <w:rsid w:val="00640271"/>
    <w:rsid w:val="006430D5"/>
    <w:rsid w:val="00644360"/>
    <w:rsid w:val="0064490B"/>
    <w:rsid w:val="00647212"/>
    <w:rsid w:val="00647B4B"/>
    <w:rsid w:val="00657BA1"/>
    <w:rsid w:val="006613CF"/>
    <w:rsid w:val="00667F86"/>
    <w:rsid w:val="00674179"/>
    <w:rsid w:val="00674D23"/>
    <w:rsid w:val="00675E27"/>
    <w:rsid w:val="00680293"/>
    <w:rsid w:val="00682554"/>
    <w:rsid w:val="00687C84"/>
    <w:rsid w:val="0069033A"/>
    <w:rsid w:val="006942D0"/>
    <w:rsid w:val="006966C4"/>
    <w:rsid w:val="006975D9"/>
    <w:rsid w:val="006A282C"/>
    <w:rsid w:val="006A6312"/>
    <w:rsid w:val="006A65C8"/>
    <w:rsid w:val="006A6FE0"/>
    <w:rsid w:val="006A7527"/>
    <w:rsid w:val="006B3FCD"/>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07750"/>
    <w:rsid w:val="0081472B"/>
    <w:rsid w:val="008178B8"/>
    <w:rsid w:val="00823688"/>
    <w:rsid w:val="00831FB4"/>
    <w:rsid w:val="008323AF"/>
    <w:rsid w:val="00840C95"/>
    <w:rsid w:val="0084368F"/>
    <w:rsid w:val="00843ABF"/>
    <w:rsid w:val="00852640"/>
    <w:rsid w:val="00862C8F"/>
    <w:rsid w:val="00864A91"/>
    <w:rsid w:val="008662C6"/>
    <w:rsid w:val="008744ED"/>
    <w:rsid w:val="0087635F"/>
    <w:rsid w:val="00876FD6"/>
    <w:rsid w:val="00877653"/>
    <w:rsid w:val="00885E0D"/>
    <w:rsid w:val="00892EF7"/>
    <w:rsid w:val="0089486E"/>
    <w:rsid w:val="008950F4"/>
    <w:rsid w:val="008B09DD"/>
    <w:rsid w:val="008C2DCD"/>
    <w:rsid w:val="008C5AFC"/>
    <w:rsid w:val="008C6DE0"/>
    <w:rsid w:val="008D6F0B"/>
    <w:rsid w:val="008E2694"/>
    <w:rsid w:val="008F5B5A"/>
    <w:rsid w:val="00904222"/>
    <w:rsid w:val="009102C1"/>
    <w:rsid w:val="00913B46"/>
    <w:rsid w:val="00915FC0"/>
    <w:rsid w:val="0091693E"/>
    <w:rsid w:val="00917E6F"/>
    <w:rsid w:val="00930B2B"/>
    <w:rsid w:val="009377C3"/>
    <w:rsid w:val="009456E5"/>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1EA"/>
    <w:rsid w:val="0098082E"/>
    <w:rsid w:val="00983F41"/>
    <w:rsid w:val="00985E74"/>
    <w:rsid w:val="009874E5"/>
    <w:rsid w:val="009A03C6"/>
    <w:rsid w:val="009A4A6F"/>
    <w:rsid w:val="009A700C"/>
    <w:rsid w:val="009A7A4A"/>
    <w:rsid w:val="009B02A5"/>
    <w:rsid w:val="009B072C"/>
    <w:rsid w:val="009B521D"/>
    <w:rsid w:val="009C3C34"/>
    <w:rsid w:val="009D5B1A"/>
    <w:rsid w:val="009D7EB6"/>
    <w:rsid w:val="009E148D"/>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B58"/>
    <w:rsid w:val="00AB1DEF"/>
    <w:rsid w:val="00AB78BC"/>
    <w:rsid w:val="00AC03F5"/>
    <w:rsid w:val="00AC07C4"/>
    <w:rsid w:val="00AC2F6E"/>
    <w:rsid w:val="00AC5762"/>
    <w:rsid w:val="00AD20E2"/>
    <w:rsid w:val="00AD314E"/>
    <w:rsid w:val="00AE017E"/>
    <w:rsid w:val="00AE13D8"/>
    <w:rsid w:val="00AE3BF8"/>
    <w:rsid w:val="00AF3119"/>
    <w:rsid w:val="00AF4533"/>
    <w:rsid w:val="00AF6EB2"/>
    <w:rsid w:val="00B002ED"/>
    <w:rsid w:val="00B00644"/>
    <w:rsid w:val="00B065D0"/>
    <w:rsid w:val="00B07901"/>
    <w:rsid w:val="00B22F78"/>
    <w:rsid w:val="00B23F13"/>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B07CF"/>
    <w:rsid w:val="00BC240B"/>
    <w:rsid w:val="00BC5FB2"/>
    <w:rsid w:val="00BF076F"/>
    <w:rsid w:val="00BF2F30"/>
    <w:rsid w:val="00BF3B0C"/>
    <w:rsid w:val="00C05907"/>
    <w:rsid w:val="00C07041"/>
    <w:rsid w:val="00C2072B"/>
    <w:rsid w:val="00C25B1C"/>
    <w:rsid w:val="00C478D9"/>
    <w:rsid w:val="00C47C68"/>
    <w:rsid w:val="00C502AE"/>
    <w:rsid w:val="00C72860"/>
    <w:rsid w:val="00C8419B"/>
    <w:rsid w:val="00C92B22"/>
    <w:rsid w:val="00C93244"/>
    <w:rsid w:val="00C94CBB"/>
    <w:rsid w:val="00CA573C"/>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16925"/>
    <w:rsid w:val="00D20FE7"/>
    <w:rsid w:val="00D219C3"/>
    <w:rsid w:val="00D226BC"/>
    <w:rsid w:val="00D26D8B"/>
    <w:rsid w:val="00D40A53"/>
    <w:rsid w:val="00D413E8"/>
    <w:rsid w:val="00D44F86"/>
    <w:rsid w:val="00D45604"/>
    <w:rsid w:val="00D603AC"/>
    <w:rsid w:val="00D60CF9"/>
    <w:rsid w:val="00D93759"/>
    <w:rsid w:val="00D95898"/>
    <w:rsid w:val="00DA0CD5"/>
    <w:rsid w:val="00DA14C6"/>
    <w:rsid w:val="00DA2D87"/>
    <w:rsid w:val="00DA2E98"/>
    <w:rsid w:val="00DA3D19"/>
    <w:rsid w:val="00DA3DB9"/>
    <w:rsid w:val="00DA5C82"/>
    <w:rsid w:val="00DC05B1"/>
    <w:rsid w:val="00DC1F17"/>
    <w:rsid w:val="00DC78EF"/>
    <w:rsid w:val="00DD1279"/>
    <w:rsid w:val="00DD5AA5"/>
    <w:rsid w:val="00DE0E08"/>
    <w:rsid w:val="00DE16FB"/>
    <w:rsid w:val="00DF66F6"/>
    <w:rsid w:val="00E07C68"/>
    <w:rsid w:val="00E12656"/>
    <w:rsid w:val="00E12674"/>
    <w:rsid w:val="00E1389B"/>
    <w:rsid w:val="00E13BEF"/>
    <w:rsid w:val="00E21665"/>
    <w:rsid w:val="00E265E0"/>
    <w:rsid w:val="00E330B0"/>
    <w:rsid w:val="00E33BC3"/>
    <w:rsid w:val="00E3688A"/>
    <w:rsid w:val="00E401FB"/>
    <w:rsid w:val="00E43730"/>
    <w:rsid w:val="00E43AB6"/>
    <w:rsid w:val="00E461B1"/>
    <w:rsid w:val="00E47DFA"/>
    <w:rsid w:val="00E57732"/>
    <w:rsid w:val="00E72CF3"/>
    <w:rsid w:val="00E73912"/>
    <w:rsid w:val="00E76EB0"/>
    <w:rsid w:val="00E81D35"/>
    <w:rsid w:val="00E87320"/>
    <w:rsid w:val="00E87B1E"/>
    <w:rsid w:val="00E93DF7"/>
    <w:rsid w:val="00EA0340"/>
    <w:rsid w:val="00EA0B25"/>
    <w:rsid w:val="00EA5A2C"/>
    <w:rsid w:val="00EA5CDA"/>
    <w:rsid w:val="00EA63E2"/>
    <w:rsid w:val="00EB0C39"/>
    <w:rsid w:val="00EC2D51"/>
    <w:rsid w:val="00ED00EC"/>
    <w:rsid w:val="00ED16D6"/>
    <w:rsid w:val="00ED2E9A"/>
    <w:rsid w:val="00ED3BA5"/>
    <w:rsid w:val="00EE0BF9"/>
    <w:rsid w:val="00EF152B"/>
    <w:rsid w:val="00EF6C7B"/>
    <w:rsid w:val="00F06F65"/>
    <w:rsid w:val="00F07230"/>
    <w:rsid w:val="00F10262"/>
    <w:rsid w:val="00F12D11"/>
    <w:rsid w:val="00F15B6B"/>
    <w:rsid w:val="00F16380"/>
    <w:rsid w:val="00F16BB5"/>
    <w:rsid w:val="00F17699"/>
    <w:rsid w:val="00F2307B"/>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6051"/>
    <w:rsid w:val="00FB68CC"/>
    <w:rsid w:val="00FB6F7C"/>
    <w:rsid w:val="00FC2B42"/>
    <w:rsid w:val="00FC2C44"/>
    <w:rsid w:val="00FC4FF9"/>
    <w:rsid w:val="00FC5901"/>
    <w:rsid w:val="00FD023E"/>
    <w:rsid w:val="00FD44C0"/>
    <w:rsid w:val="00FD53C0"/>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2544/luat-giao-duc-so-38-2005-qh11-cua-quoc-hoi.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7892/nghi-dinh-so-115-2010-nd-cp-cua-chinh-phu-quy-dinh-trach-nhiem-quan-ly-nha-nuoc-ve-giao-duc.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6026/nghi-dinh-so-07-2013-nd-cp-cua-chinh-phu-sua-doi-diem-b-khoan-13-dieu-1-cua-nghi-dinh-so-31-2011-nd-cp-ngay-11-thang-.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uatminhkhue.vn/nghi-dinh/nghi-dinh-so-75-2006-nd-cp-ve-viec-quy-dinh-chi-tiet-va-huong-dan-thi-hanh-mot-so-dieu-cua-luat-giao-duc.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1873/luat-giao-duc-so-44-2009-qh12-sua-doi-bo-sung-cua-quoc-hoi.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276</cp:revision>
  <dcterms:created xsi:type="dcterms:W3CDTF">2015-09-25T00:33:00Z</dcterms:created>
  <dcterms:modified xsi:type="dcterms:W3CDTF">2020-05-18T03:25:00Z</dcterms:modified>
</cp:coreProperties>
</file>