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r>
              <w:rPr>
                <w:b/>
              </w:rPr>
              <w:br/>
            </w:r>
            <w:r>
              <w:rPr>
                <w:b/>
              </w:rPr>
              <w:t xml:space="preserve">-----------------------</w:t>
            </w:r>
          </w:p>
          <w:p>
            <w:pPr>
              <w:pStyle w:val="Normal(Web)"/>
              <w:divId w:val="2"/>
              <w:jc w:val="center"/>
              <w:rPr>
                <w:vanish w:val="0"/>
              </w:rPr>
            </w:pPr>
            <w:r>
              <w:t xml:space="preserve">Số: </w:t>
            </w:r>
            <w:hyperlink r:id="rId3" w:history="1">
              <w:r>
                <w:rPr>
                  <w:rStyle w:val="Hyperlink"/>
                </w:rPr>
                <w:t xml:space="preserve">18/2014/TT-BGDĐT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26 tháng 05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BỔ SUNG VÀO ĐIỂM A KHOẢN 2 ĐIỀU 7 CỦA QUY CHẾ TUYỂN SINH TRUNG HỌC CƠ SỞ VÀ TUYỂN SINH TRUNG HỌC PHỔ THÔNG BAN HÀNH KÈM THEO THÔNG TƯ SỐ </w:t>
      </w:r>
      <w:hyperlink r:id="rId4" w:history="1">
        <w:r>
          <w:rPr>
            <w:rStyle w:val="Hyperlink"/>
            <w:b/>
          </w:rPr>
          <w:t xml:space="preserve">11/2014/TT-BGDĐT </w:t>
        </w:r>
      </w:hyperlink>
      <w:r>
        <w:rPr>
          <w:b/>
        </w:rPr>
        <w:t xml:space="preserve"> NGÀY 18 THÁNG 4 NĂM 2014 CỦA BỘ TRƯỞNG BỘ GIÁO DỤC VÀ ĐÀO TẠO</w:t>
      </w:r>
    </w:p>
    <w:p>
      <w:pPr>
        <w:pStyle w:val="Normal(Web)"/>
        <w:divId w:val="7"/>
        <w:rPr>
          <w:vanish w:val="0"/>
        </w:rPr>
      </w:pPr>
      <w:r>
        <w:rPr>
          <w:i/>
        </w:rPr>
        <w:t xml:space="preserve">Căn cứ Luật Giáo dục ngày 14 tháng 6 năm 2005; Luật sửa đổi, bổ sung một số điều của Luật Giáo dục ngày 25 tháng 11 năm 2009;</w:t>
      </w:r>
    </w:p>
    <w:p>
      <w:pPr>
        <w:pStyle w:val="Normal(Web)"/>
        <w:divId w:val="8"/>
        <w:rPr>
          <w:vanish w:val="0"/>
        </w:rPr>
      </w:pP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9"/>
        <w:rPr>
          <w:vanish w:val="0"/>
        </w:rPr>
      </w:pPr>
      <w:r>
        <w:rPr>
          <w:i/>
        </w:rPr>
        <w:t xml:space="preserve">Căn cứ Nghị định số </w:t>
      </w:r>
      <w:hyperlink r:id="rId6" w:history="1">
        <w:r>
          <w:rPr>
            <w:rStyle w:val="Hyperlink"/>
            <w:i/>
          </w:rPr>
          <w:t xml:space="preserve">75/2006/NĐ-CP </w:t>
        </w:r>
      </w:hyperlink>
      <w:r>
        <w:rPr>
          <w:i/>
        </w:rPr>
        <w:t xml:space="preserve">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về việc sửa đổi điểm b khoản 13 Điều 1 của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pPr>
        <w:pStyle w:val="Normal(Web)"/>
        <w:divId w:val="10"/>
        <w:rPr>
          <w:vanish w:val="0"/>
        </w:rPr>
      </w:pPr>
      <w:r>
        <w:rPr>
          <w:i/>
        </w:rPr>
        <w:t xml:space="preserve">Căn cứ Nghị định số </w:t>
      </w:r>
      <w:hyperlink r:id="rId7" w:history="1">
        <w:r>
          <w:rPr>
            <w:rStyle w:val="Hyperlink"/>
            <w:i/>
          </w:rPr>
          <w:t xml:space="preserve">115/2010/NĐ-CP </w:t>
        </w:r>
      </w:hyperlink>
      <w:r>
        <w:rPr>
          <w:i/>
        </w:rPr>
        <w:t xml:space="preserve"> ngày 24 tháng 12 năm 2010 của Chính phủ quy định trách nhiệm quản lý nhà nước về giáo dục.</w:t>
      </w:r>
    </w:p>
    <w:p>
      <w:pPr>
        <w:pStyle w:val="Normal(Web)"/>
        <w:divId w:val="11"/>
        <w:rPr>
          <w:vanish w:val="0"/>
        </w:rPr>
      </w:pPr>
      <w:r>
        <w:rPr>
          <w:i/>
        </w:rPr>
        <w:t xml:space="preserve">Theo đề nghị của Vụ trưởng Vụ Giáo dục Trung học,</w:t>
      </w:r>
    </w:p>
    <w:p>
      <w:pPr>
        <w:pStyle w:val="Normal(Web)"/>
        <w:divId w:val="12"/>
        <w:rPr>
          <w:vanish w:val="0"/>
        </w:rPr>
      </w:pPr>
      <w:r>
        <w:rPr>
          <w:i/>
        </w:rPr>
        <w:t xml:space="preserve">Bộ trưởng Bộ Giáo dục và Đào tạo ban hành Thông tư bổ sung vào điểm a khoản 2 Điều 7 của Quy chế tuyển sinh trung học cơ sở và tuyển sinh trung học phổ thông ban hành kèm theo Thông tư số 11/2014/TT-BGDĐT ngày 18 tháng 4 năm 2014 của Bộ trưởng Bộ Giáo dục và Đào tạo.</w:t>
      </w:r>
    </w:p>
    <w:p>
      <w:pPr>
        <w:pStyle w:val="Normal(Web)"/>
        <w:divId w:val="13"/>
        <w:rPr>
          <w:vanish w:val="0"/>
        </w:rPr>
      </w:pPr>
      <w:r>
        <w:rPr>
          <w:b/>
        </w:rPr>
        <w:t xml:space="preserve">Điều 1.</w:t>
      </w:r>
      <w:r>
        <w:t xml:space="preserve">Bổ sung vào điểm a khoản 2 Điều 7 của Quy chế tuyển sinh trung học cơ sở và tuyển sinh trung học phổ thông ban hành kèm theo Thông tư số 11/2014/TT-BGDĐT ngày 18 tháng 4 năm 2014 của Bộ trưởng Bộ Giáo dục và Đào tạo như sau:</w:t>
      </w:r>
    </w:p>
    <w:p>
      <w:pPr>
        <w:pStyle w:val="Normal(Web)"/>
        <w:divId w:val="14"/>
        <w:rPr>
          <w:vanish w:val="0"/>
        </w:rPr>
      </w:pPr>
      <w:r>
        <w:t xml:space="preserve">"- Con của người hoạt động kháng chiến bị nhiễm chất độc hóa học;</w:t>
      </w:r>
    </w:p>
    <w:p>
      <w:pPr>
        <w:pStyle w:val="Normal(Web)"/>
        <w:divId w:val="15"/>
        <w:rPr>
          <w:vanish w:val="0"/>
        </w:rPr>
      </w:pPr>
      <w:r>
        <w:t xml:space="preserve">- Con của người hoạt động cách mạng trước ngày 01 tháng 01 năm 1945;</w:t>
      </w:r>
    </w:p>
    <w:p>
      <w:pPr>
        <w:pStyle w:val="Normal(Web)"/>
        <w:divId w:val="16"/>
        <w:rPr>
          <w:vanish w:val="0"/>
        </w:rPr>
      </w:pPr>
      <w:r>
        <w:t xml:space="preserve">- Con của người hoạt động cách mạng từ ngày 01 tháng 01 năm 1945 đến ngày khởi nghĩa tháng Tám năm 1945."</w:t>
      </w:r>
    </w:p>
    <w:p>
      <w:pPr>
        <w:pStyle w:val="Normal(Web)"/>
        <w:divId w:val="17"/>
        <w:rPr>
          <w:vanish w:val="0"/>
        </w:rPr>
      </w:pPr>
      <w:r>
        <w:rPr>
          <w:b/>
        </w:rPr>
        <w:t xml:space="preserve">Điều 2.</w:t>
      </w:r>
      <w:r>
        <w:t xml:space="preserve"> Thông tư này có hiệu lực thi hành kể từ ngày 02 tháng 6 năm 2014.</w:t>
      </w:r>
    </w:p>
    <w:p>
      <w:pPr>
        <w:pStyle w:val="Normal(Web)"/>
        <w:divId w:val="18"/>
        <w:rPr>
          <w:vanish w:val="0"/>
        </w:rPr>
      </w:pPr>
      <w:r>
        <w:rPr>
          <w:b/>
        </w:rPr>
        <w:t xml:space="preserve">Điều 3.</w:t>
      </w:r>
      <w:r>
        <w:t xml:space="preserve"> Chánh Văn phòng, Vụ trưởng Vụ Giáo dục Trung học, Thủ trưởng các đơn vị có liên quan thuộc Bộ Giáo dục và Đào tạo, Chủ tịch Ủy ban nhân dân các tỉnh, thành phố trực thuộc Trung ương; Giám đốc các sở giáo dục và đào tạo, Giám đốc các đại học, Hiệu trưởng các trường đại học có trường trung học phổ thông chuyên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
              <w:rPr>
                <w:vanish w:val="0"/>
              </w:rPr>
            </w:pPr>
            <w:r>
              <w:rPr>
                <w:b/>
                <w:i/>
              </w:rPr>
              <w:t xml:space="preserve">Nơi nhận:</w:t>
            </w:r>
            <w:r>
              <w:rPr/>
              <w:br/>
            </w:r>
            <w:r>
              <w:t xml:space="preserve">- Văn phòng Quốc hội;</w:t>
            </w:r>
            <w:r>
              <w:rPr/>
              <w:br/>
            </w:r>
            <w:r>
              <w:t xml:space="preserve">- Văn phòng Chính phủ;</w:t>
            </w:r>
            <w:r>
              <w:rPr/>
              <w:br/>
            </w:r>
            <w:r>
              <w:t xml:space="preserve">- Ủy ban VHGD TNTNNĐ của Quốc hội;</w:t>
            </w:r>
            <w:r>
              <w:rPr/>
              <w:br/>
            </w:r>
            <w:r>
              <w:t xml:space="preserve">- Ban Tuyên giáo Trung ương;</w:t>
            </w:r>
            <w:r>
              <w:rPr/>
              <w:br/>
            </w:r>
            <w:r>
              <w:t xml:space="preserve">- Cục KTrVBQPPL (Bộ Tư pháp);</w:t>
            </w:r>
            <w:r>
              <w:rPr/>
              <w:br/>
            </w:r>
            <w:r>
              <w:t xml:space="preserve">- UBND các tỉnh, TP trực thuộc TW;</w:t>
            </w:r>
            <w:r>
              <w:rPr/>
              <w:br/>
            </w:r>
            <w:r>
              <w:t xml:space="preserve">- Công báo;</w:t>
            </w:r>
            <w:r>
              <w:rPr/>
              <w:br/>
            </w:r>
            <w:r>
              <w:t xml:space="preserve">- Như Điều 3;</w:t>
            </w:r>
            <w:r>
              <w:rPr/>
              <w:br/>
            </w:r>
            <w:r>
              <w:t xml:space="preserve">- Website Chính phủ;</w:t>
            </w:r>
            <w:r>
              <w:rPr/>
              <w:br/>
            </w:r>
            <w:r>
              <w:t xml:space="preserve">- Website Bộ GD&amp;ĐT;</w:t>
            </w:r>
            <w:r>
              <w:rPr/>
              <w:br/>
            </w:r>
            <w:r>
              <w:t xml:space="preserve">- Lưu: VT, Vụ PC, Vụ GDTrH.</w:t>
            </w:r>
          </w:p>
        </w:tc>
        <w:tc>
          <w:tcPr>
            <w:tcW w:w="0" w:type="auto"/>
            <w:shd w:val="clear" w:color="auto" w:fill="auto"/>
            <w:vAlign w:val="center"/>
          </w:tcPr>
          <w:p>
            <w:pPr>
              <w:pStyle w:val="Normal(Web)"/>
              <w:divId w:val="20"/>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Vinh Hiển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8-2014-tt-bgddt.aspx" TargetMode="External" /><Relationship Id="rId4" Type="http://schemas.openxmlformats.org/officeDocument/2006/relationships/hyperlink" Target="/thong-tu-11-2014-tt-bgddt.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yperlink" Target="/nghi-dinh-so-115-2010-nd-cp-cua-chinh-phu---quy-dinh-trach-nhiem-quan-ly-nha-nuoc-ve-giao-du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2022-06-22T01:24:26Z</dcterms:created>
  <dcterms:modified xsi:type="dcterms:W3CDTF">2022-06-22T01:24:26Z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2022-06-22T01:24:26Z</dcterms:created>
  <dcterms:modified xsi:type="dcterms:W3CDTF">2022-06-22T01:24:26Z</dcterms:modified>
</cp:coreProperties>
</file>