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21/2014/TT-BGTVT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6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bố vùng nước các cảng biển thuộc địa phận tỉnh Khánh Hòa, tỉnh Ninh Thuận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khu vực quản lý của cảng vụ hàng hải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21/2012/NĐ-CP </w:t>
        </w:r>
      </w:hyperlink>
      <w:r>
        <w:rPr>
          <w:i/>
        </w:rPr>
        <w:t xml:space="preserve"> ngày 21 tháng 3 năm 2012 của Chính phủ về quản lý cảng biển và luồng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Trên cơ sở ý kiến của Ủy ban nhân dân tỉnh Khánh Hòa tại công văn số 6015/UBND ngày 22 tháng 10 năm 2013 và Ủy ban nhân dân tỉnh Ninh Thuận tại công văn số 5060/UBND-KT ngày 25 tháng 10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Pháp chế và Cục trưởng Cục Hàng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công bố vùng nước các cảng biển thuộc địa phận tỉnh Khánh Hòa, tỉnh Ninh Thuận và khu vực quản lý của Cảng vụ Hàng hải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Công bố vùng nước các cảng biển thuộc địa phận tỉnh Khánh Hòa, tỉnh Ninh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công bố vùng nước các cảng biển thuộc địa phận tỉnh Khánh Hòa, tỉnh Ninh Thuận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Vùng nước cảng biển Khánh Hòa gồm các bến cảng: Đầm Môn, Hòn Khói, Nhà máy tàu biển Hyundai-Vinashin, Kho xăng dầu ngoại quan Vân Phong, Trạm phân phối xi măng Ninh Thủy, Nha Trang, Học viện Hải quân, Ba Ngòi, K720 - Tổng công ty Xăng dầu quân đội, Nhà máy xi măng Cam 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Vùng nước cảng biển Trường Sa: Bến cảng Trường Sa.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Vùng nước cảng biển Cà Ná: Bến cảng Cà Ná.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Phạm vi vùng nước các cảng biển thuộc địa phận tỉnh Khánh Hòa, tỉnh Ninh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vùng nước các cảng biển thuộc địa phận tỉnh Khánh Hòa, tỉnh Ninh Thuận tính theo mực nước thủy triều lớn nhất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Vùng nước cảng biển Khánh Hòa: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Ranh giới tại khu vực vịnh Vân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biển: được giới hạn bởi các đoạn thẳng nối các điểm theo thứ tự VP1, VP2 và VP3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VP1: 12</w:t>
      </w:r>
      <w:r>
        <w:rPr>
          <w:vertAlign w:val="superscript"/>
        </w:rPr>
        <w:t xml:space="preserve">o</w:t>
      </w:r>
      <w:r>
        <w:t xml:space="preserve">33'44,3"N, 109</w:t>
      </w:r>
      <w:r>
        <w:rPr>
          <w:vertAlign w:val="superscript"/>
        </w:rPr>
        <w:t xml:space="preserve">o</w:t>
      </w:r>
      <w:r>
        <w:t xml:space="preserve">25'37,0"E (mũi Gành-phía Nam bán đảo Hòn Gốm);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VP2: 12</w:t>
      </w:r>
      <w:r>
        <w:rPr>
          <w:vertAlign w:val="superscript"/>
        </w:rPr>
        <w:t xml:space="preserve">o</w:t>
      </w:r>
      <w:r>
        <w:t xml:space="preserve">28'02,3"N, 109</w:t>
      </w:r>
      <w:r>
        <w:rPr>
          <w:vertAlign w:val="superscript"/>
        </w:rPr>
        <w:t xml:space="preserve">o</w:t>
      </w:r>
      <w:r>
        <w:t xml:space="preserve">25'37,0"E;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VP3: 12</w:t>
      </w:r>
      <w:r>
        <w:rPr>
          <w:vertAlign w:val="superscript"/>
        </w:rPr>
        <w:t xml:space="preserve">o</w:t>
      </w:r>
      <w:r>
        <w:t xml:space="preserve">24'02,3"N, 109</w:t>
      </w:r>
      <w:r>
        <w:rPr>
          <w:vertAlign w:val="superscript"/>
        </w:rPr>
        <w:t xml:space="preserve">o</w:t>
      </w:r>
      <w:r>
        <w:t xml:space="preserve">20'13,0"E (mũi Bàn Thang).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đất liền: từ điểm VP1 (mũi Gành) chạy dọc theo đường bờ biển phía Tây của bán đảo Hòn Gốm lên phía Bắc qua mũi Cô Cổ, mũi Đa Sơn và dọc theo đường bờ biển đến cực Bắc của vũng Bến Gôi, chạy men theo đường bờ biển của các xã thuộc huyện Vạn Ninh qua mũi Hòn Giang, mũi Hòn Khơi tới điểm VP3 (mũi Bàn Thang).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Ranh giới tại khu vực vịnh Nha Trang: được giới hạn bởi các đoạn thẳng nối các điểm theo thứ tự NT1, NT2, NT3 và NT4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NT1: 12</w:t>
      </w:r>
      <w:r>
        <w:rPr>
          <w:vertAlign w:val="superscript"/>
        </w:rPr>
        <w:t xml:space="preserve">o</w:t>
      </w:r>
      <w:r>
        <w:t xml:space="preserve">14'11,3"N, 109</w:t>
      </w:r>
      <w:r>
        <w:rPr>
          <w:vertAlign w:val="superscript"/>
        </w:rPr>
        <w:t xml:space="preserve">o</w:t>
      </w:r>
      <w:r>
        <w:t xml:space="preserve">15'39,0"E (mũi Ba Cơ - Bắc Hòn Tre);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NT2: 12</w:t>
      </w:r>
      <w:r>
        <w:rPr>
          <w:vertAlign w:val="superscript"/>
        </w:rPr>
        <w:t xml:space="preserve">o</w:t>
      </w:r>
      <w:r>
        <w:t xml:space="preserve">16'02,3"N, 109</w:t>
      </w:r>
      <w:r>
        <w:rPr>
          <w:vertAlign w:val="superscript"/>
        </w:rPr>
        <w:t xml:space="preserve">o</w:t>
      </w:r>
      <w:r>
        <w:t xml:space="preserve">13'18,0"E;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NT3: 12</w:t>
      </w:r>
      <w:r>
        <w:rPr>
          <w:vertAlign w:val="superscript"/>
        </w:rPr>
        <w:t xml:space="preserve">o</w:t>
      </w:r>
      <w:r>
        <w:t xml:space="preserve">16'02,3"N, 109</w:t>
      </w:r>
      <w:r>
        <w:rPr>
          <w:vertAlign w:val="superscript"/>
        </w:rPr>
        <w:t xml:space="preserve">o</w:t>
      </w:r>
      <w:r>
        <w:t xml:space="preserve">12'43,0"E;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NT4: 12</w:t>
      </w:r>
      <w:r>
        <w:rPr>
          <w:vertAlign w:val="superscript"/>
        </w:rPr>
        <w:t xml:space="preserve">o</w:t>
      </w:r>
      <w:r>
        <w:t xml:space="preserve">12'50,3"N, 109</w:t>
      </w:r>
      <w:r>
        <w:rPr>
          <w:vertAlign w:val="superscript"/>
        </w:rPr>
        <w:t xml:space="preserve">o</w:t>
      </w:r>
      <w:r>
        <w:t xml:space="preserve">12'25,0"E (Trường Tây, phường Vĩnh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điểm NT4, chạy theo đường bờ biển xuống phía Nam tới điểm NT5 có tọa độ: 12</w:t>
      </w:r>
      <w:r>
        <w:rPr>
          <w:vertAlign w:val="superscript"/>
        </w:rPr>
        <w:t xml:space="preserve">o</w:t>
      </w:r>
      <w:r>
        <w:t xml:space="preserve">09'14,3”N, 109</w:t>
      </w:r>
      <w:r>
        <w:rPr>
          <w:vertAlign w:val="superscript"/>
        </w:rPr>
        <w:t xml:space="preserve">o</w:t>
      </w:r>
      <w:r>
        <w:t xml:space="preserve">13'00,0"E.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điểm NT5 nối các điểm theo thứ tự NT6 và NT7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NT6: 12</w:t>
      </w:r>
      <w:r>
        <w:rPr>
          <w:vertAlign w:val="superscript"/>
        </w:rPr>
        <w:t xml:space="preserve">o</w:t>
      </w:r>
      <w:r>
        <w:t xml:space="preserve">09'14,3"N, 109</w:t>
      </w:r>
      <w:r>
        <w:rPr>
          <w:vertAlign w:val="superscript"/>
        </w:rPr>
        <w:t xml:space="preserve">o</w:t>
      </w:r>
      <w:r>
        <w:t xml:space="preserve">16'27,0"E;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NT7: 12</w:t>
      </w:r>
      <w:r>
        <w:rPr>
          <w:vertAlign w:val="superscript"/>
        </w:rPr>
        <w:t xml:space="preserve">o</w:t>
      </w:r>
      <w:r>
        <w:t xml:space="preserve">11'00,3"N, 109</w:t>
      </w:r>
      <w:r>
        <w:rPr>
          <w:vertAlign w:val="superscript"/>
        </w:rPr>
        <w:t xml:space="preserve">o</w:t>
      </w:r>
      <w:r>
        <w:t xml:space="preserve">16'27,0"E.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điểm NT7, chạy theo bờ phía Tây đảo Hòn Tre lên phía Bắc, qua mũi Nam, đến mũi Lang và nối với điểm NT1.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Ranh giới tại khu vực vịnh Cam 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biển: được giới hạn bởi các đoạn thẳng nối các điểm theo thứ tự C1, C2, C3, C4, C5, C6, C7 và C8 có tọa độ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58'12,5"N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56'55,0"N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55'36,6"N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54'44,5"N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54'00,0"N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52'18,0"N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48'02,3"N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rPr>
                <w:vertAlign w:val="superscript"/>
              </w:rPr>
              <w:t xml:space="preserve">o</w:t>
            </w:r>
            <w:r>
              <w:t xml:space="preserve">46'56,3"N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12'18,4"E;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11'40,0"E;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11'24,1"E;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11'03,0"E;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10'21,3"E;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12'07,0"E;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13'25,0"E;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r>
              <w:rPr>
                <w:vertAlign w:val="superscript"/>
              </w:rPr>
              <w:t xml:space="preserve">o</w:t>
            </w:r>
            <w:r>
              <w:t xml:space="preserve">11'37,0"E.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đất liền: từ điểm C8 chạy dọc theo đường bờ biển lên phía Bắc qua mũi Bà Tiên và mũi Sộp, chạy theo đường bờ của vịnh Cam Ranh xuống phía Nam qua mũi Ông Định lên phía Bắc của vịnh đến hành lang an toàn cầu Long Hồ, chạy dọc hành lang an toàn cầu đến điểm giữa hành lang an toàn cầu Long Hồ và nối với điểm C1.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Vùng nước cảng biển Trường Sa: được giới hạn bởi các đoạn thẳng khép kín nối các điểm TS1, TS2, TS3, TS4 và TS5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TS1: 08</w:t>
      </w:r>
      <w:r>
        <w:rPr>
          <w:vertAlign w:val="superscript"/>
        </w:rPr>
        <w:t xml:space="preserve">o</w:t>
      </w:r>
      <w:r>
        <w:t xml:space="preserve">51'02,3"N, 112</w:t>
      </w:r>
      <w:r>
        <w:rPr>
          <w:vertAlign w:val="superscript"/>
        </w:rPr>
        <w:t xml:space="preserve">o</w:t>
      </w:r>
      <w:r>
        <w:t xml:space="preserve">10'55,0"E (Đảo Đá Tây);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TS2: 08</w:t>
      </w:r>
      <w:r>
        <w:rPr>
          <w:vertAlign w:val="superscript"/>
        </w:rPr>
        <w:t xml:space="preserve">o</w:t>
      </w:r>
      <w:r>
        <w:t xml:space="preserve">56'08,3"N, 112</w:t>
      </w:r>
      <w:r>
        <w:rPr>
          <w:vertAlign w:val="superscript"/>
        </w:rPr>
        <w:t xml:space="preserve">o</w:t>
      </w:r>
      <w:r>
        <w:t xml:space="preserve">20'49,0"E (Đảo Trường Sa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TS3: 08</w:t>
      </w:r>
      <w:r>
        <w:rPr>
          <w:vertAlign w:val="superscript"/>
        </w:rPr>
        <w:t xml:space="preserve">o</w:t>
      </w:r>
      <w:r>
        <w:t xml:space="preserve">49'44,3"N, 112</w:t>
      </w:r>
      <w:r>
        <w:rPr>
          <w:vertAlign w:val="superscript"/>
        </w:rPr>
        <w:t xml:space="preserve">o</w:t>
      </w:r>
      <w:r>
        <w:t xml:space="preserve">35'43,0"E (Đảo Đá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TS4: 07</w:t>
      </w:r>
      <w:r>
        <w:rPr>
          <w:vertAlign w:val="superscript"/>
        </w:rPr>
        <w:t xml:space="preserve">o</w:t>
      </w:r>
      <w:r>
        <w:t xml:space="preserve">52'12,3"N, 112</w:t>
      </w:r>
      <w:r>
        <w:rPr>
          <w:vertAlign w:val="superscript"/>
        </w:rPr>
        <w:t xml:space="preserve">o</w:t>
      </w:r>
      <w:r>
        <w:t xml:space="preserve">54'05,0"E (Đảo An Bang);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TS5: 08</w:t>
      </w:r>
      <w:r>
        <w:rPr>
          <w:vertAlign w:val="superscript"/>
        </w:rPr>
        <w:t xml:space="preserve">o</w:t>
      </w:r>
      <w:r>
        <w:t xml:space="preserve">40'44,3"N, 111</w:t>
      </w:r>
      <w:r>
        <w:rPr>
          <w:vertAlign w:val="superscript"/>
        </w:rPr>
        <w:t xml:space="preserve">o</w:t>
      </w:r>
      <w:r>
        <w:t xml:space="preserve">40'07,0"E (Đảo Đá Lát).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Vùng nước cảng biển Cà Ná: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Ranh giới tại khu vực Thuận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biển: được giới hạn bởi các đoạn thẳng nối các điểm theo thứ tự CN1, CN2 và CN3,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CN1: 11</w:t>
      </w:r>
      <w:r>
        <w:rPr>
          <w:vertAlign w:val="superscript"/>
        </w:rPr>
        <w:t xml:space="preserve">o</w:t>
      </w:r>
      <w:r>
        <w:t xml:space="preserve">18'26,3"N, 108</w:t>
      </w:r>
      <w:r>
        <w:rPr>
          <w:vertAlign w:val="superscript"/>
        </w:rPr>
        <w:t xml:space="preserve">o</w:t>
      </w:r>
      <w:r>
        <w:t xml:space="preserve">54'47,0"E (mũi Sừng Trâu);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CN2: 11</w:t>
      </w:r>
      <w:r>
        <w:rPr>
          <w:vertAlign w:val="superscript"/>
        </w:rPr>
        <w:t xml:space="preserve">o</w:t>
      </w:r>
      <w:r>
        <w:t xml:space="preserve">16'47,3"N, 108</w:t>
      </w:r>
      <w:r>
        <w:rPr>
          <w:vertAlign w:val="superscript"/>
        </w:rPr>
        <w:t xml:space="preserve">o</w:t>
      </w:r>
      <w:r>
        <w:t xml:space="preserve">51'53,0"E (bãi cạn Cù Lao Cau);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CN3: 11</w:t>
      </w:r>
      <w:r>
        <w:rPr>
          <w:vertAlign w:val="superscript"/>
        </w:rPr>
        <w:t xml:space="preserve">o</w:t>
      </w:r>
      <w:r>
        <w:t xml:space="preserve">19'56,3"N, 108</w:t>
      </w:r>
      <w:r>
        <w:rPr>
          <w:vertAlign w:val="superscript"/>
        </w:rPr>
        <w:t xml:space="preserve">o</w:t>
      </w:r>
      <w:r>
        <w:t xml:space="preserve">50'40,0"E (núi Đá Chụt).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đất liền: từ điểm CN3 chạy dọc theo đường bờ biển lên phía Bắc đến điểm CN1.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Ranh giới tại khu vực vịnh Phan 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biển: được giới hạn bởi các đoạn thẳng nối các điểm theo thứ tự PR1, PR2 và PR3, có tọa độ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PR1: 11</w:t>
      </w:r>
      <w:r>
        <w:rPr>
          <w:vertAlign w:val="superscript"/>
        </w:rPr>
        <w:t xml:space="preserve">o</w:t>
      </w:r>
      <w:r>
        <w:t xml:space="preserve">33'44,3"N, 109</w:t>
      </w:r>
      <w:r>
        <w:rPr>
          <w:vertAlign w:val="superscript"/>
        </w:rPr>
        <w:t xml:space="preserve">o</w:t>
      </w:r>
      <w:r>
        <w:t xml:space="preserve">07'19,0"E (Mũi Hòn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PR2: 11</w:t>
      </w:r>
      <w:r>
        <w:rPr>
          <w:vertAlign w:val="superscript"/>
        </w:rPr>
        <w:t xml:space="preserve">o</w:t>
      </w:r>
      <w:r>
        <w:t xml:space="preserve">29'08,3"N, 109</w:t>
      </w:r>
      <w:r>
        <w:rPr>
          <w:vertAlign w:val="superscript"/>
        </w:rPr>
        <w:t xml:space="preserve">o</w:t>
      </w:r>
      <w:r>
        <w:t xml:space="preserve">05'31,0"E;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PR3: 11</w:t>
      </w:r>
      <w:r>
        <w:rPr>
          <w:vertAlign w:val="superscript"/>
        </w:rPr>
        <w:t xml:space="preserve">o</w:t>
      </w:r>
      <w:r>
        <w:t xml:space="preserve">29'02,3"N, 109</w:t>
      </w:r>
      <w:r>
        <w:rPr>
          <w:vertAlign w:val="superscript"/>
        </w:rPr>
        <w:t xml:space="preserve">o</w:t>
      </w:r>
      <w:r>
        <w:t xml:space="preserve">00'25,0"E.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về phía đất liền: từ điểm PR1 chạy dọc theo đường bờ biển của vịnh Phan Rang về phía Nam của vịnh đến điểm PR3.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Ranh giới vùng nước cảng biển, khu nước, vùng nước quy định tại Thông tư này được xác định trên các Hải đồ số IA-100-04 tái bản năm 2001, Hải đồ số IA-100-19 tái bản năm 1995, Hải đồ số IA-100-17 tái bản năm 1996, Hải đồ số IA-25-33 xuất bản lần thứ nhất năm 1980 và Hải đồ số IA-25-32 xuất bản lần thứ nhất năm 1982 của Hải quân nhân dân Việt Nam. Tọa độ các điểm quy định trong Thông tư này được áp dụng theo Hệ tọa độ VN-2000 và được chuyển đổi sang các hệ tọa độ tương ứng tại Phụ lục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Vùng đón trả hoa tiêu, vùng kiểm dịch, khu neo đậu, khu chuyển tải, khu tránh bão, khu nước, vùng nước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Hàng hải Việt Nam tổ chức công bố vùng đón trả hoa tiêu, vùng kiểm dịch, khu neo đậu, khu chuyển tải, khu tránh bão cho tàu thuyền vào các cảng biển Khánh Hòa, Trường Sa, Cà Ná và khu nước, vùng nước khác trong phạm vi các vùng nước cảng biển theo quy định tại Điều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của Cảng vụ Hàng hải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nhiệm vụ và quyền hạn theo quy định của Bộ luật Hàng hải Việt Nam và quy định có liên quan của pháp luật đối với hoạt động hàng hải tại các cảng biển và vùng nước các cảng biển thuộc địa phận tỉnh Khánh Hòa, tỉnh Ninh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tình hình thực tế về thời tiết, sóng gió, mớn nước, trọng tải của tàu thuyền và tính chất hàng hóa, chỉ định vị trí cụ thể cho tàu thuyền đón trả hoa tiêu, kiểm dịch, neo đậu, chuyển tải và tránh bão trong vùng nước theo quy định, bảo đảm an toàn hàng hải, an ninh hàng hải và phòng ngừa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quản lý nhà nước về hàng hải trong vùng biển thuộc địa phận tỉnh Khánh Hòa, tỉnh Ninh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phạm vi vùng nước các cảng biển quy định tại Điều 2 của Thông tư này, Cảng vụ Hàng hải Nha Trang có trách nhiệm quản lý nhà nước về an toàn hàng hải, an ninh hàng hải và phòng ngừa ô nhiễm môi trường trong vùng biển thuộc địa phận tỉnh Khánh Hòa, tỉnh Ninh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01 tháng 08 năm 2014. Bãi bỏ Quyết định số 18/2007/QĐ-BGTVT ngày 04 tháng 04 năm 2007 của Bộ trưởng Bộ Giao thông vận tải về công bố vùng nước cảng biển thuộc địa phận tỉnh Khánh Hòa, tỉnh Ninh Thuận và khu vực quản lý của Cảng vụ Hàng hải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thuộc Bộ, Cục trưởng Cục Hàng hải Việt Nam, Cục trưởng Cục Đường thủy nội địa Việt Nam, Giám đốc Sở Giao thông vận tải tỉnh Khánh Hòa, Giám đốc Sở Giao thông vận tải tỉnh Ninh Thuận, Giám đốc Cảng vụ Hàng hải Nha Trang, Thủ trưởng các cơ quan, tổ chức và cá nhân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2014-tt-bgtvt-cua-bo-giao-thong-van-tai---cong-bo-vung-nuoc-cac-cang-bien-thuoc-dia-phan-tinh-khanh-hoa--tinh-ninh-thuan-va-khu-vuc-quan-ly-cua-cang-vu-hang-hai-nha-trang.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so-21-2012-nd-cp-cua-chinh-phu---ve-quan-ly-cang-bien-va-luong-hang-h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2022-06-21T16:48:45Z</dcterms:created>
  <dcterms:modified xsi:type="dcterms:W3CDTF">2022-06-21T16:48:45Z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2022-06-21T16:48:45Z</dcterms:created>
  <dcterms:modified xsi:type="dcterms:W3CDTF">2022-06-21T16:48:45Z</dcterms:modified>
</cp:coreProperties>
</file>