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Y TẾ</w:t>
            </w:r>
            <w:r>
              <w:rPr>
                <w:b/>
              </w:rPr>
              <w:br/>
            </w:r>
            <w:r>
              <w:rPr>
                <w:b/>
              </w:rPr>
              <w:t xml:space="preserve">-------</w:t>
            </w:r>
          </w:p>
          <w:p>
            <w:pPr>
              <w:pStyle w:val="Normal(Web)"/>
              <w:divId w:val="2"/>
              <w:jc w:val="center"/>
              <w:rPr>
                <w:vanish w:val="0"/>
              </w:rPr>
            </w:pPr>
            <w:r>
              <w:t xml:space="preserve">Số: </w:t>
            </w:r>
            <w:hyperlink r:id="rId3" w:history="1">
              <w:r>
                <w:rPr>
                  <w:rStyle w:val="Hyperlink"/>
                </w:rPr>
                <w:t xml:space="preserve">31/2014/TT-BYT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26 tháng 09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bảng tiêu chuẩn đánh giá về mặt kỹ thuật tại hồ sơ mời thầu mua thuốc</w:t>
      </w:r>
    </w:p>
    <w:p>
      <w:pPr>
        <w:pStyle w:val="Normal(Web)"/>
        <w:divId w:val="7"/>
        <w:rPr>
          <w:vanish w:val="0"/>
        </w:rPr>
      </w:pPr>
      <w:r>
        <w:rPr>
          <w:i/>
        </w:rPr>
        <w:t xml:space="preserve">Căn cứ Luật đấu thầu ngày 26 tháng 11 năm 2013;</w:t>
      </w:r>
    </w:p>
    <w:p>
      <w:pPr>
        <w:pStyle w:val="Normal(Web)"/>
        <w:divId w:val="8"/>
        <w:rPr>
          <w:vanish w:val="0"/>
        </w:rPr>
      </w:pPr>
      <w:r>
        <w:rPr>
          <w:i/>
        </w:rPr>
        <w:t xml:space="preserve">Căn cứ Nghị định số </w:t>
      </w:r>
      <w:hyperlink r:id="rId4" w:history="1">
        <w:r>
          <w:rPr>
            <w:rStyle w:val="Hyperlink"/>
            <w:i/>
          </w:rPr>
          <w:t xml:space="preserve">63/2014/NĐ-CP </w:t>
        </w:r>
      </w:hyperlink>
      <w:r>
        <w:rPr>
          <w:i/>
        </w:rPr>
        <w:t xml:space="preserve"> ngày 26 tháng 6 năm 2014 của Chính phủ quy định chi tiết thi hành một số điều của Luật đấu thầu về lựa chọn nhà thầu;</w:t>
      </w:r>
    </w:p>
    <w:p>
      <w:pPr>
        <w:pStyle w:val="Normal(Web)"/>
        <w:divId w:val="9"/>
        <w:rPr>
          <w:vanish w:val="0"/>
        </w:rPr>
      </w:pPr>
      <w:r>
        <w:rPr>
          <w:i/>
        </w:rPr>
        <w:t xml:space="preserve">Căn cứ Nghị định số </w:t>
      </w:r>
      <w:hyperlink r:id="rId5" w:history="1">
        <w:r>
          <w:rPr>
            <w:rStyle w:val="Hyperlink"/>
            <w:i/>
          </w:rPr>
          <w:t xml:space="preserve">63/2012/NĐ-CP </w:t>
        </w:r>
      </w:hyperlink>
      <w:r>
        <w:rPr>
          <w:i/>
        </w:rPr>
        <w:t xml:space="preserve"> ngày 31 tháng 8 năm 2012 của Chính phủ quy định chức năng, nhiệm vụ, quyền hạn và cơ cấu tổ chức của Bộ Y tế;</w:t>
      </w:r>
    </w:p>
    <w:p>
      <w:pPr>
        <w:pStyle w:val="Normal(Web)"/>
        <w:divId w:val="10"/>
        <w:rPr>
          <w:vanish w:val="0"/>
        </w:rPr>
      </w:pPr>
      <w:r>
        <w:rPr>
          <w:i/>
        </w:rPr>
        <w:t xml:space="preserve">Theo đề nghị của Cục trưởng Cục Quản lý Dược và Vụ trưởng Vụ Kế hoạch - Tài chính;</w:t>
      </w:r>
    </w:p>
    <w:p>
      <w:pPr>
        <w:pStyle w:val="Normal(Web)"/>
        <w:divId w:val="11"/>
        <w:rPr>
          <w:vanish w:val="0"/>
        </w:rPr>
      </w:pPr>
      <w:r>
        <w:rPr>
          <w:i/>
        </w:rPr>
        <w:t xml:space="preserve">Bộ trưởng Bộ Y tế ban hành Thông tư quy định Bảng tiêu chuẩn đánh giá về mặt kỹ thuật tại hồ sơ mời thầu mua thuốc.</w:t>
      </w:r>
    </w:p>
    <w:p>
      <w:pPr>
        <w:pStyle w:val="Normal(Web)"/>
        <w:divId w:val="12"/>
        <w:rPr>
          <w:vanish w:val="0"/>
        </w:rPr>
      </w:pPr>
      <w:r>
        <w:rPr>
          <w:b/>
        </w:rPr>
        <w:t xml:space="preserve">Điều 1</w:t>
      </w:r>
      <w:r>
        <w:t xml:space="preserve">. Bảng tiêu chuẩn đánh giá về mặt kỹ thuật tại hồ sơ mời thầu mua thuốc</w:t>
      </w:r>
    </w:p>
    <w:p>
      <w:pPr>
        <w:pStyle w:val="Normal(Web)"/>
        <w:divId w:val="13"/>
        <w:rPr>
          <w:vanish w:val="0"/>
        </w:rPr>
      </w:pPr>
      <w:r>
        <w:t xml:space="preserve">1. Tiêu chuẩn đánh giá về mặt kỹ thuật bao gồm các tiêu chuẩn quy định tại Phụ lục 1 ban hành kèm theo Thông tư này.</w:t>
      </w:r>
    </w:p>
    <w:p>
      <w:pPr>
        <w:pStyle w:val="Normal(Web)"/>
        <w:divId w:val="14"/>
        <w:rPr>
          <w:vanish w:val="0"/>
        </w:rPr>
      </w:pPr>
      <w:r>
        <w:t xml:space="preserve">2. Phương pháp đánh giá thực hiện theo phương pháp chấm điểm để đánh giá với thang điểm tối đa là 100, cụ thể như sau:</w:t>
      </w:r>
    </w:p>
    <w:p>
      <w:pPr>
        <w:pStyle w:val="Normal(Web)"/>
        <w:divId w:val="15"/>
        <w:rPr>
          <w:vanish w:val="0"/>
        </w:rPr>
      </w:pPr>
      <w:r>
        <w:t xml:space="preserve">a) Chất lượng thuốc: 70% tổng số điểm (70 điểm).</w:t>
      </w:r>
    </w:p>
    <w:p>
      <w:pPr>
        <w:pStyle w:val="Normal(Web)"/>
        <w:divId w:val="16"/>
        <w:rPr>
          <w:vanish w:val="0"/>
        </w:rPr>
      </w:pPr>
      <w:r>
        <w:t xml:space="preserve">b) Đóng gói, bảo quản, giao hàng: 30% tổng số điểm (30 điểm).</w:t>
      </w:r>
    </w:p>
    <w:p>
      <w:pPr>
        <w:pStyle w:val="Normal(Web)"/>
        <w:divId w:val="17"/>
        <w:rPr>
          <w:vanish w:val="0"/>
        </w:rPr>
      </w:pPr>
      <w:r>
        <w:t xml:space="preserve">c) Hồ sơ đề xuất về kỹ thuật được đánh giá đáp ứng yêu cầu về kỹ thuật khi đáp ứng đủ các yêu cầu sau:</w:t>
      </w:r>
    </w:p>
    <w:p>
      <w:pPr>
        <w:pStyle w:val="Normal(Web)"/>
        <w:divId w:val="18"/>
        <w:rPr>
          <w:vanish w:val="0"/>
        </w:rPr>
      </w:pPr>
      <w:r>
        <w:t xml:space="preserve">- Điểm của từng tiêu chí tại yêu cầu về chất lượng thuốc và về đóng gói, bảo quản, giao hàng không thấp hơn 60% điểm tối đa tiêu chí đó.</w:t>
      </w:r>
    </w:p>
    <w:p>
      <w:pPr>
        <w:pStyle w:val="Normal(Web)"/>
        <w:divId w:val="19"/>
        <w:rPr>
          <w:vanish w:val="0"/>
        </w:rPr>
      </w:pPr>
      <w:r>
        <w:t xml:space="preserve">- Tổng điểm của tất cả các tiêu chí đánh giá về mặt kỹ thuật không thấp hơn 80% tổng số điểm.</w:t>
      </w:r>
    </w:p>
    <w:p>
      <w:pPr>
        <w:pStyle w:val="Normal(Web)"/>
        <w:divId w:val="20"/>
        <w:rPr>
          <w:vanish w:val="0"/>
        </w:rPr>
      </w:pPr>
      <w:r>
        <w:t xml:space="preserve">3. Các hồ sơ dự thầu đạt yêu cầu về tiêu chuẩn đánh giá năng lực, kinh nghiệm nhà thầu và tiêu chuẩn đánh giá về mặt kỹ thuật thì được tiếp tục xem xét xác định tiêu chuẩn đánh giá tổng hợp theo quy định tại Điều 24 Nghị định số 63/2014/NĐ-CP ngày 26 tháng 6 năm 2014 của Chính phủ quy định chi tiết thi hành một số điều của Luật đấu thầu về lựa chọn nhà thầu.</w:t>
      </w:r>
    </w:p>
    <w:p>
      <w:pPr>
        <w:pStyle w:val="Normal(Web)"/>
        <w:divId w:val="21"/>
        <w:rPr>
          <w:vanish w:val="0"/>
        </w:rPr>
      </w:pPr>
      <w:r>
        <w:rPr>
          <w:b/>
        </w:rPr>
        <w:t xml:space="preserve">Điều 2.</w:t>
      </w:r>
      <w:r>
        <w:t xml:space="preserve"> Hiệu lực thi hành</w:t>
      </w:r>
    </w:p>
    <w:p>
      <w:pPr>
        <w:pStyle w:val="Normal(Web)"/>
        <w:divId w:val="22"/>
        <w:rPr>
          <w:vanish w:val="0"/>
        </w:rPr>
      </w:pPr>
      <w:r>
        <w:t xml:space="preserve">Thông tư này có hiệu lực kể từ ngày ký ban hành.</w:t>
      </w:r>
    </w:p>
    <w:p>
      <w:pPr>
        <w:pStyle w:val="Normal(Web)"/>
        <w:divId w:val="23"/>
        <w:rPr>
          <w:vanish w:val="0"/>
        </w:rPr>
      </w:pPr>
      <w:r>
        <w:t xml:space="preserve">Khoản 2 Điều 7 Thông tư số </w:t>
      </w:r>
      <w:hyperlink r:id="rId6" w:history="1">
        <w:r>
          <w:rPr>
            <w:rStyle w:val="Hyperlink"/>
          </w:rPr>
          <w:t xml:space="preserve">37/2013/TT-BYT </w:t>
        </w:r>
      </w:hyperlink>
      <w:r>
        <w:t xml:space="preserve"> ngày 11 tháng 11 năm 2013 của Bộ trưởng Bộ Y tế hướng dẫn việc lập hồ sơ mời thầu mua thuốc trong các cơ sở y tế hết hiệu lực kể từ ngày Thông tư này có hiệu lực thi hành.</w:t>
      </w:r>
    </w:p>
    <w:p>
      <w:pPr>
        <w:pStyle w:val="Normal(Web)"/>
        <w:divId w:val="24"/>
        <w:rPr>
          <w:vanish w:val="0"/>
        </w:rPr>
      </w:pPr>
      <w:r>
        <w:rPr>
          <w:b/>
        </w:rPr>
        <w:t xml:space="preserve">Điều 3.</w:t>
      </w:r>
      <w:r>
        <w:t xml:space="preserve"> Điều khoản chuyển tiếp</w:t>
      </w:r>
    </w:p>
    <w:p>
      <w:pPr>
        <w:pStyle w:val="Normal(Web)"/>
        <w:divId w:val="25"/>
        <w:rPr>
          <w:vanish w:val="0"/>
        </w:rPr>
      </w:pPr>
      <w:r>
        <w:t xml:space="preserve">1. Đối với hồ sơ mời thầu phát hành trước ngày 15 tháng 8 năm 2014, việc đánh giá lựa chọn nhà thầu thực hiện theo quy định của Thông tư số 37/2013/TT-BYT ngày 11 tháng 11 năm 2013.</w:t>
      </w:r>
    </w:p>
    <w:p>
      <w:pPr>
        <w:pStyle w:val="Normal(Web)"/>
        <w:divId w:val="26"/>
        <w:rPr>
          <w:vanish w:val="0"/>
        </w:rPr>
      </w:pPr>
      <w:r>
        <w:t xml:space="preserve">2. Đối với hồ sơ mời thầu phát hành sau ngày 15 tháng 8 năm 2014 mà nội dung hồ sơ mời thầu chưa phù hợp với Thông tư này thì đơn vị phát hành hồ sơ mời thầu phải tiến hành sửa đổi hồ sơ mời thầu để bảo đảm không trái quy định của Thông tư này.</w:t>
      </w:r>
    </w:p>
    <w:p>
      <w:pPr>
        <w:pStyle w:val="Normal(Web)"/>
        <w:divId w:val="27"/>
        <w:rPr>
          <w:vanish w:val="0"/>
        </w:rPr>
      </w:pPr>
      <w:r>
        <w:rPr>
          <w:b/>
        </w:rPr>
        <w:t xml:space="preserve">Điều 4.</w:t>
      </w:r>
      <w:r>
        <w:t xml:space="preserve"> Trách nhiệm thi hành</w:t>
      </w:r>
    </w:p>
    <w:p>
      <w:pPr>
        <w:pStyle w:val="Normal(Web)"/>
        <w:divId w:val="28"/>
        <w:rPr>
          <w:vanish w:val="0"/>
        </w:rPr>
      </w:pPr>
      <w:r>
        <w:t xml:space="preserve">Cục trưởng Cục Quản lý Dược, Vụ trưởng Vụ Kế hoạch Tài chính, Chánh Văn phòng Bộ, Vụ trưởng, Cục trưởng, Tổng Cục trưởng các Vụ, Cục, Tổng cục thuộc Bộ Y tế, Thủ trưởng các cơ quan, đơn vị trực thuộc Bộ, Giám đốc Sở Y tế các tỉnh, thành phố trực thuộc trung ương và Thủ trưởng cơ quan y tế các Bộ, ngành chịu trách nhiệm thi hành Thông tư này.</w:t>
      </w:r>
    </w:p>
    <w:p>
      <w:pPr>
        <w:pStyle w:val="Normal(Web)"/>
        <w:divId w:val="29"/>
        <w:rPr>
          <w:vanish w:val="0"/>
        </w:rPr>
      </w:pPr>
      <w:r>
        <w:t xml:space="preserve">Trong quá trình thực hiện, nếu có khó khăn vướng mắc, các đơn vị, địa phương báo cáo về Bộ Y tế (Vụ Kế hoạch Tài chính) để nghiên cứu,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0"/>
              <w:rPr>
                <w:vanish w:val="0"/>
              </w:rPr>
            </w:pPr>
            <w:r>
              <w:t xml:space="preserve"> </w:t>
            </w:r>
            <w:r>
              <w:rPr>
                <w:b/>
                <w:i/>
              </w:rPr>
              <w:t xml:space="preserve">Nơi nhận:</w:t>
            </w:r>
            <w:r>
              <w:rPr>
                <w:b/>
                <w:i/>
              </w:rPr>
              <w:br/>
            </w:r>
            <w:r>
              <w:t xml:space="preserve">- Văn phòng Chính phủ (Phòng Công báo;</w:t>
            </w:r>
            <w:r>
              <w:rPr/>
              <w:br/>
            </w:r>
            <w:r>
              <w:t xml:space="preserve">Cổng thông tin điện tử Chính phủ);</w:t>
            </w:r>
            <w:r>
              <w:rPr/>
              <w:br/>
            </w:r>
            <w:r>
              <w:t xml:space="preserve">- Bộ Tư pháp (Cục Kiểm tra VBQPPL);</w:t>
            </w:r>
            <w:r>
              <w:rPr/>
              <w:br/>
            </w:r>
            <w:r>
              <w:t xml:space="preserve">- Các Thứ trưởng Bộ Y tế (để biết);</w:t>
            </w:r>
            <w:r>
              <w:rPr/>
              <w:br/>
            </w:r>
            <w:r>
              <w:t xml:space="preserve">- UBND tỉnh, thành phố trực thuộc TW;</w:t>
            </w:r>
            <w:r>
              <w:rPr/>
              <w:br/>
            </w:r>
            <w:r>
              <w:t xml:space="preserve">- Sở Y tế tỉnh, thành phố trực thuộc TW; </w:t>
            </w:r>
            <w:r>
              <w:rPr/>
              <w:br/>
            </w:r>
            <w:r>
              <w:t xml:space="preserve">- Các đơn vị trực thuộc Bộ Y tế;</w:t>
            </w:r>
            <w:r>
              <w:rPr/>
              <w:br/>
            </w:r>
            <w:r>
              <w:t xml:space="preserve">- Y tế các Bộ, ngành; </w:t>
            </w:r>
            <w:r>
              <w:rPr/>
              <w:br/>
            </w:r>
            <w:r>
              <w:t xml:space="preserve">- Các Vụ, Cục, Tổng cục, Văn phòng Bộ, </w:t>
            </w:r>
            <w:r>
              <w:rPr/>
              <w:br/>
            </w:r>
            <w:r>
              <w:t xml:space="preserve">Thanh tra Bộ, Cổng thông tin điện tử Bộ Y tế; </w:t>
            </w:r>
            <w:r>
              <w:rPr/>
              <w:br/>
            </w:r>
            <w:r>
              <w:t xml:space="preserve">- Lưu: VT, PC, QLD, KHTC (05 bản).</w:t>
            </w:r>
          </w:p>
        </w:tc>
        <w:tc>
          <w:tcPr>
            <w:tcW w:w="0" w:type="auto"/>
            <w:shd w:val="clear" w:color="auto" w:fill="auto"/>
            <w:vAlign w:val="center"/>
          </w:tcPr>
          <w:p>
            <w:pPr>
              <w:pStyle w:val="Normal(Web)"/>
              <w:divId w:val="3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Phạm Lê Tuấn</w:t>
            </w:r>
          </w:p>
        </w:tc>
      </w:tr>
    </w:tbl>
    <w:p>
      <w:pPr>
        <w:pStyle w:val="Normal(Web)"/>
        <w:divId w:val="32"/>
        <w:jc w:val="center"/>
        <w:rPr>
          <w:vanish w:val="0"/>
        </w:rPr>
      </w:pPr>
      <w:r>
        <w:rPr>
          <w:b/>
        </w:rPr>
        <w:t xml:space="preserve">PHỤ LỤC 1</w:t>
      </w:r>
    </w:p>
    <w:p>
      <w:pPr>
        <w:pStyle w:val="Normal(Web)"/>
        <w:divId w:val="33"/>
        <w:jc w:val="center"/>
        <w:rPr>
          <w:vanish w:val="0"/>
        </w:rPr>
      </w:pPr>
      <w:r>
        <w:rPr>
          <w:i/>
        </w:rPr>
        <w:t xml:space="preserve">(Ban hành kèm theo Thông tư số 31/2014/TT-BYT ngày 26 tháng 9 năm 2014 của Bộ trưởng Bộ Y tế)</w:t>
      </w:r>
    </w:p>
    <w:p>
      <w:pPr>
        <w:pStyle w:val="Normal(Web)"/>
        <w:divId w:val="34"/>
        <w:jc w:val="center"/>
        <w:rPr>
          <w:vanish w:val="0"/>
        </w:rPr>
      </w:pPr>
      <w:r>
        <w:rPr>
          <w:b/>
        </w:rPr>
        <w:t xml:space="preserve">BẢNG TIÊU CHUẨN ĐÁNH GIÁ VỀ MẶT KỸ THUẬT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5"/>
              <w:jc w:val="center"/>
              <w:rPr>
                <w:vanish w:val="0"/>
              </w:rPr>
            </w:pPr>
            <w:r>
              <w:rPr>
                <w:b/>
              </w:rPr>
              <w:t xml:space="preserve">TT</w:t>
            </w:r>
          </w:p>
        </w:tc>
        <w:tc>
          <w:tcPr>
            <w:tcW w:w="0" w:type="auto"/>
            <w:shd w:val="clear" w:color="auto" w:fill="auto"/>
            <w:vAlign w:val="center"/>
          </w:tcPr>
          <w:p>
            <w:pPr>
              <w:pStyle w:val="Normal(Web)"/>
              <w:divId w:val="36"/>
              <w:jc w:val="center"/>
              <w:rPr>
                <w:vanish w:val="0"/>
              </w:rPr>
            </w:pPr>
            <w:r>
              <w:rPr>
                <w:b/>
              </w:rPr>
              <w:t xml:space="preserve">Nội dung</w:t>
            </w:r>
          </w:p>
        </w:tc>
        <w:tc>
          <w:tcPr>
            <w:tcW w:w="0" w:type="auto"/>
            <w:shd w:val="clear" w:color="auto" w:fill="auto"/>
            <w:vAlign w:val="center"/>
          </w:tcPr>
          <w:p>
            <w:pPr>
              <w:pStyle w:val="Normal(Web)"/>
              <w:divId w:val="37"/>
              <w:jc w:val="center"/>
              <w:rPr>
                <w:vanish w:val="0"/>
              </w:rPr>
            </w:pPr>
            <w:r>
              <w:rPr>
                <w:b/>
              </w:rPr>
              <w:t xml:space="preserve">Mức điểm</w:t>
            </w:r>
          </w:p>
        </w:tc>
      </w:tr>
      <w:tr>
        <w:trPr>
          <w:jc w:val="left"/>
        </w:trPr>
        <w:tc>
          <w:tcPr>
            <w:tcW w:w="0" w:type="auto"/>
            <w:shd w:val="clear" w:color="auto" w:fill="auto"/>
            <w:vAlign w:val="center"/>
          </w:tcPr>
          <w:p>
            <w:pPr>
              <w:pStyle w:val="Normal(Web)"/>
              <w:divId w:val="38"/>
              <w:jc w:val="center"/>
              <w:rPr>
                <w:vanish w:val="0"/>
              </w:rPr>
            </w:pPr>
            <w:r>
              <w:t xml:space="preserve">I</w:t>
            </w:r>
          </w:p>
        </w:tc>
        <w:tc>
          <w:tcPr>
            <w:tcW w:w="0" w:type="auto"/>
            <w:hMerge w:val="restart"/>
            <w:shd w:val="clear" w:color="auto" w:fill="auto"/>
            <w:vAlign w:val="center"/>
          </w:tcPr>
          <w:p>
            <w:pPr>
              <w:pStyle w:val="Normal(Web)"/>
              <w:divId w:val="39"/>
              <w:rPr>
                <w:vanish w:val="0"/>
              </w:rPr>
            </w:pPr>
            <w:r>
              <w:t xml:space="preserve">Các tiêu chí đánh giá về chất lượng thuốc: 70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0"/>
              <w:jc w:val="center"/>
              <w:rPr>
                <w:vanish w:val="0"/>
              </w:rPr>
            </w:pPr>
            <w:r>
              <w:t xml:space="preserve">1</w:t>
            </w:r>
          </w:p>
        </w:tc>
        <w:tc>
          <w:tcPr>
            <w:tcW w:w="0" w:type="auto"/>
            <w:hMerge w:val="restart"/>
            <w:shd w:val="clear" w:color="auto" w:fill="auto"/>
            <w:vAlign w:val="center"/>
          </w:tcPr>
          <w:p>
            <w:pPr>
              <w:pStyle w:val="Normal(Web)"/>
              <w:divId w:val="41"/>
              <w:rPr>
                <w:vanish w:val="0"/>
              </w:rPr>
            </w:pPr>
            <w:r>
              <w:t xml:space="preserve">Mặt hàng thuốc tham dự thầu được sản xuất bởi cơ sở: 25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42"/>
              <w:rPr>
                <w:vanish w:val="0"/>
              </w:rPr>
            </w:pPr>
            <w:r>
              <w:t xml:space="preserve">1.1. Đạt tiêu chuẩn PIC/s-GMP, EU-GMP:</w:t>
            </w:r>
          </w:p>
        </w:tc>
      </w:tr>
      <w:tr>
        <w:trPr>
          <w:jc w:val="left"/>
        </w:trPr>
        <w:tc>
          <w:tcPr>
            <w:tcW w:w="0" w:type="auto"/>
            <w:shd w:val="clear" w:color="auto" w:fill="auto"/>
            <w:vAlign w:val="center"/>
          </w:tcPr>
          <w:p>
            <w:pPr>
              <w:pStyle w:val="Normal(Web)"/>
              <w:divId w:val="43"/>
              <w:rPr>
                <w:vanish w:val="0"/>
              </w:rPr>
            </w:pPr>
            <w:r>
              <w:t xml:space="preserve">a) Thuộc nước tham gia ICH.</w:t>
            </w:r>
          </w:p>
        </w:tc>
        <w:tc>
          <w:tcPr>
            <w:tcW w:w="0" w:type="auto"/>
            <w:shd w:val="clear" w:color="auto" w:fill="auto"/>
            <w:vAlign w:val="center"/>
          </w:tcPr>
          <w:p>
            <w:pPr>
              <w:pStyle w:val="Normal(Web)"/>
              <w:divId w:val="44"/>
              <w:jc w:val="center"/>
              <w:rPr>
                <w:vanish w:val="0"/>
              </w:rPr>
            </w:pPr>
            <w:r>
              <w:t xml:space="preserve">25</w:t>
            </w:r>
          </w:p>
        </w:tc>
      </w:tr>
      <w:tr>
        <w:trPr>
          <w:jc w:val="left"/>
        </w:trPr>
        <w:tc>
          <w:tcPr>
            <w:tcW w:w="0" w:type="auto"/>
            <w:shd w:val="clear" w:color="auto" w:fill="auto"/>
            <w:vAlign w:val="center"/>
          </w:tcPr>
          <w:p>
            <w:pPr>
              <w:pStyle w:val="Normal(Web)"/>
              <w:divId w:val="45"/>
              <w:rPr>
                <w:vanish w:val="0"/>
              </w:rPr>
            </w:pPr>
            <w:r>
              <w:t xml:space="preserve">b) Không thuộc nước tham gia ICH, được Bộ Y tế Việt Nam (Cục Quản lý Dược) cấp giấy chứng nhận WHO-GMP.</w:t>
            </w:r>
          </w:p>
        </w:tc>
        <w:tc>
          <w:tcPr>
            <w:tcW w:w="0" w:type="auto"/>
            <w:shd w:val="clear" w:color="auto" w:fill="auto"/>
            <w:vAlign w:val="center"/>
          </w:tcPr>
          <w:p>
            <w:pPr>
              <w:pStyle w:val="Normal(Web)"/>
              <w:divId w:val="46"/>
              <w:jc w:val="center"/>
              <w:rPr>
                <w:vanish w:val="0"/>
              </w:rPr>
            </w:pPr>
            <w:r>
              <w:t xml:space="preserve">23</w:t>
            </w:r>
          </w:p>
        </w:tc>
      </w:tr>
      <w:tr>
        <w:trPr>
          <w:jc w:val="left"/>
        </w:trPr>
        <w:tc>
          <w:tcPr>
            <w:tcW w:w="0" w:type="auto"/>
            <w:shd w:val="clear" w:color="auto" w:fill="auto"/>
            <w:vAlign w:val="center"/>
          </w:tcPr>
          <w:p>
            <w:pPr>
              <w:pStyle w:val="Normal(Web)"/>
              <w:divId w:val="47"/>
              <w:rPr>
                <w:vanish w:val="0"/>
              </w:rPr>
            </w:pPr>
            <w:r>
              <w:t xml:space="preserve">c) Không thuộc nước tham gia ICH, chưa được Bộ Y tế Việt Nam (Cục Quản lý Dược) cấp giấy chứng nhận WHO-GMP.</w:t>
            </w:r>
          </w:p>
        </w:tc>
        <w:tc>
          <w:tcPr>
            <w:tcW w:w="0" w:type="auto"/>
            <w:shd w:val="clear" w:color="auto" w:fill="auto"/>
            <w:vAlign w:val="center"/>
          </w:tcPr>
          <w:p>
            <w:pPr>
              <w:pStyle w:val="Normal(Web)"/>
              <w:divId w:val="48"/>
              <w:jc w:val="center"/>
              <w:rPr>
                <w:vanish w:val="0"/>
              </w:rPr>
            </w:pPr>
            <w:r>
              <w:t xml:space="preserve">21</w:t>
            </w:r>
          </w:p>
        </w:tc>
      </w:tr>
      <w:tr>
        <w:trPr>
          <w:jc w:val="left"/>
        </w:trPr>
        <w:tc>
          <w:tcPr>
            <w:tcW w:w="0" w:type="auto"/>
            <w:shd w:val="clear" w:color="auto" w:fill="auto"/>
            <w:vAlign w:val="center"/>
          </w:tcPr>
          <w:p>
            <w:pPr>
              <w:pStyle w:val="Normal(Web)"/>
              <w:divId w:val="49"/>
              <w:rPr>
                <w:vanish w:val="0"/>
              </w:rPr>
            </w:pPr>
            <w:r>
              <w:t xml:space="preserve">1.2. Đạt tiêu chuẩn WHO-GMP:</w:t>
            </w:r>
          </w:p>
        </w:tc>
      </w:tr>
      <w:tr>
        <w:trPr>
          <w:jc w:val="left"/>
        </w:trPr>
        <w:tc>
          <w:tcPr>
            <w:tcW w:w="0" w:type="auto"/>
            <w:shd w:val="clear" w:color="auto" w:fill="auto"/>
            <w:vAlign w:val="center"/>
          </w:tcPr>
          <w:p>
            <w:pPr>
              <w:pStyle w:val="Normal(Web)"/>
              <w:divId w:val="50"/>
              <w:rPr>
                <w:vanish w:val="0"/>
              </w:rPr>
            </w:pPr>
            <w:r>
              <w:t xml:space="preserve">a) Được Bộ Y tế Việt Nam (Cục Quản lý Dược) cấp giấy chứng nhận WHO-GMP và được cơ quan có thẩm quyền của nước tham gia ICH cấp phép lưu hành.</w:t>
            </w:r>
          </w:p>
        </w:tc>
        <w:tc>
          <w:tcPr>
            <w:tcW w:w="0" w:type="auto"/>
            <w:shd w:val="clear" w:color="auto" w:fill="auto"/>
            <w:vAlign w:val="center"/>
          </w:tcPr>
          <w:p>
            <w:pPr>
              <w:pStyle w:val="Normal(Web)"/>
              <w:divId w:val="51"/>
              <w:jc w:val="center"/>
              <w:rPr>
                <w:vanish w:val="0"/>
              </w:rPr>
            </w:pPr>
            <w:r>
              <w:t xml:space="preserve">24</w:t>
            </w:r>
          </w:p>
        </w:tc>
      </w:tr>
      <w:tr>
        <w:trPr>
          <w:jc w:val="left"/>
        </w:trPr>
        <w:tc>
          <w:tcPr>
            <w:tcW w:w="0" w:type="auto"/>
            <w:shd w:val="clear" w:color="auto" w:fill="auto"/>
            <w:vAlign w:val="center"/>
          </w:tcPr>
          <w:p>
            <w:pPr>
              <w:pStyle w:val="Normal(Web)"/>
              <w:divId w:val="52"/>
              <w:rPr>
                <w:vanish w:val="0"/>
              </w:rPr>
            </w:pPr>
            <w:r>
              <w:t xml:space="preserve">b) Được Bộ Y tế Việt Nam (Cục Quản lý Dược) cấp giấy chứng nhận WHO-GMP và được nhượng quyền sản xuất từ cơ sở đạt tiêu chuẩn PIC/s-GMP, EU-GMP thuộc nước tham gia ICH.</w:t>
            </w:r>
          </w:p>
        </w:tc>
        <w:tc>
          <w:tcPr>
            <w:tcW w:w="0" w:type="auto"/>
            <w:shd w:val="clear" w:color="auto" w:fill="auto"/>
            <w:vAlign w:val="center"/>
          </w:tcPr>
          <w:p>
            <w:pPr>
              <w:pStyle w:val="Normal(Web)"/>
              <w:divId w:val="53"/>
              <w:jc w:val="center"/>
              <w:rPr>
                <w:vanish w:val="0"/>
              </w:rPr>
            </w:pPr>
            <w:r>
              <w:t xml:space="preserve">22</w:t>
            </w:r>
          </w:p>
        </w:tc>
      </w:tr>
      <w:tr>
        <w:trPr>
          <w:jc w:val="left"/>
        </w:trPr>
        <w:tc>
          <w:tcPr>
            <w:tcW w:w="0" w:type="auto"/>
            <w:shd w:val="clear" w:color="auto" w:fill="auto"/>
            <w:vAlign w:val="center"/>
          </w:tcPr>
          <w:p>
            <w:pPr>
              <w:pStyle w:val="Normal(Web)"/>
              <w:divId w:val="54"/>
              <w:rPr>
                <w:vanish w:val="0"/>
              </w:rPr>
            </w:pPr>
            <w:r>
              <w:t xml:space="preserve">c) Được Bộ Y tế Việt Nam (Cục Quản lý Dược) cấp giấy chứng nhận WHO-GMP.</w:t>
            </w:r>
          </w:p>
        </w:tc>
        <w:tc>
          <w:tcPr>
            <w:tcW w:w="0" w:type="auto"/>
            <w:shd w:val="clear" w:color="auto" w:fill="auto"/>
            <w:vAlign w:val="center"/>
          </w:tcPr>
          <w:p>
            <w:pPr>
              <w:pStyle w:val="Normal(Web)"/>
              <w:divId w:val="55"/>
              <w:jc w:val="center"/>
              <w:rPr>
                <w:vanish w:val="0"/>
              </w:rPr>
            </w:pPr>
            <w:r>
              <w:t xml:space="preserve">21</w:t>
            </w:r>
          </w:p>
        </w:tc>
      </w:tr>
      <w:tr>
        <w:trPr>
          <w:jc w:val="left"/>
        </w:trPr>
        <w:tc>
          <w:tcPr>
            <w:tcW w:w="0" w:type="auto"/>
            <w:shd w:val="clear" w:color="auto" w:fill="auto"/>
            <w:vAlign w:val="center"/>
          </w:tcPr>
          <w:p>
            <w:pPr>
              <w:pStyle w:val="Normal(Web)"/>
              <w:divId w:val="56"/>
              <w:rPr>
                <w:vanish w:val="0"/>
              </w:rPr>
            </w:pPr>
            <w:r>
              <w:t xml:space="preserve">d) Không được Bộ Y tế Việt Nam (Cục Quản lý Dược) cấp giấy chứng nhận WHO-GMP.</w:t>
            </w:r>
          </w:p>
        </w:tc>
        <w:tc>
          <w:tcPr>
            <w:tcW w:w="0" w:type="auto"/>
            <w:shd w:val="clear" w:color="auto" w:fill="auto"/>
            <w:vAlign w:val="center"/>
          </w:tcPr>
          <w:p>
            <w:pPr>
              <w:pStyle w:val="Normal(Web)"/>
              <w:divId w:val="57"/>
              <w:jc w:val="center"/>
              <w:rPr>
                <w:vanish w:val="0"/>
              </w:rPr>
            </w:pPr>
            <w:r>
              <w:t xml:space="preserve">20</w:t>
            </w:r>
          </w:p>
        </w:tc>
      </w:tr>
      <w:tr>
        <w:trPr>
          <w:jc w:val="left"/>
        </w:trPr>
        <w:tc>
          <w:tcPr>
            <w:tcW w:w="0" w:type="auto"/>
            <w:shd w:val="clear" w:color="auto" w:fill="auto"/>
            <w:vAlign w:val="center"/>
          </w:tcPr>
          <w:p>
            <w:pPr>
              <w:pStyle w:val="Normal(Web)"/>
              <w:divId w:val="58"/>
              <w:rPr>
                <w:vanish w:val="0"/>
              </w:rPr>
            </w:pPr>
            <w:r>
              <w:t xml:space="preserve">1.3. Thuốc đông y, thuốc từ dược liệu sản xuất bởi cơ sở:</w:t>
            </w:r>
          </w:p>
        </w:tc>
      </w:tr>
      <w:tr>
        <w:trPr>
          <w:jc w:val="left"/>
        </w:trPr>
        <w:tc>
          <w:tcPr>
            <w:tcW w:w="0" w:type="auto"/>
            <w:shd w:val="clear" w:color="auto" w:fill="auto"/>
            <w:vAlign w:val="center"/>
          </w:tcPr>
          <w:p>
            <w:pPr>
              <w:pStyle w:val="Normal(Web)"/>
              <w:divId w:val="59"/>
              <w:rPr>
                <w:vanish w:val="0"/>
              </w:rPr>
            </w:pPr>
            <w:r>
              <w:t xml:space="preserve">a) Được Bộ Y tế Việt Nam (Cục Quản lý Dược) cấp giấy chứng nhận đạt tiêu chuẩn WHO-GMP.</w:t>
            </w:r>
          </w:p>
        </w:tc>
        <w:tc>
          <w:tcPr>
            <w:tcW w:w="0" w:type="auto"/>
            <w:shd w:val="clear" w:color="auto" w:fill="auto"/>
            <w:vAlign w:val="center"/>
          </w:tcPr>
          <w:p>
            <w:pPr>
              <w:pStyle w:val="Normal(Web)"/>
              <w:divId w:val="60"/>
              <w:jc w:val="center"/>
              <w:rPr>
                <w:vanish w:val="0"/>
              </w:rPr>
            </w:pPr>
            <w:r>
              <w:t xml:space="preserve">25</w:t>
            </w:r>
          </w:p>
        </w:tc>
      </w:tr>
      <w:tr>
        <w:trPr>
          <w:jc w:val="left"/>
        </w:trPr>
        <w:tc>
          <w:tcPr>
            <w:tcW w:w="0" w:type="auto"/>
            <w:shd w:val="clear" w:color="auto" w:fill="auto"/>
            <w:vAlign w:val="center"/>
          </w:tcPr>
          <w:p>
            <w:pPr>
              <w:pStyle w:val="Normal(Web)"/>
              <w:divId w:val="61"/>
              <w:rPr>
                <w:vanish w:val="0"/>
              </w:rPr>
            </w:pPr>
            <w:r>
              <w:t xml:space="preserve">b) Chưa được Bộ Y tế Việt Nam (Cục Quản lý Dược) kiểm tra và cấp giấy chứng nhận đạt tiêu chuẩn WHO-GMP.</w:t>
            </w:r>
          </w:p>
        </w:tc>
        <w:tc>
          <w:tcPr>
            <w:tcW w:w="0" w:type="auto"/>
            <w:shd w:val="clear" w:color="auto" w:fill="auto"/>
            <w:vAlign w:val="center"/>
          </w:tcPr>
          <w:p>
            <w:pPr>
              <w:pStyle w:val="Normal(Web)"/>
              <w:divId w:val="62"/>
              <w:jc w:val="center"/>
              <w:rPr>
                <w:vanish w:val="0"/>
              </w:rPr>
            </w:pPr>
            <w:r>
              <w:t xml:space="preserve">20</w:t>
            </w:r>
          </w:p>
        </w:tc>
      </w:tr>
      <w:tr>
        <w:trPr>
          <w:jc w:val="left"/>
        </w:trPr>
        <w:tc>
          <w:tcPr>
            <w:tcW w:w="0" w:type="auto"/>
            <w:shd w:val="clear" w:color="auto" w:fill="auto"/>
            <w:vAlign w:val="center"/>
          </w:tcPr>
          <w:p>
            <w:pPr>
              <w:pStyle w:val="Normal(Web)"/>
              <w:divId w:val="63"/>
              <w:jc w:val="center"/>
              <w:rPr>
                <w:vanish w:val="0"/>
              </w:rPr>
            </w:pPr>
            <w:r>
              <w:t xml:space="preserve">2</w:t>
            </w:r>
          </w:p>
        </w:tc>
        <w:tc>
          <w:tcPr>
            <w:tcW w:w="0" w:type="auto"/>
            <w:hMerge w:val="restart"/>
            <w:shd w:val="clear" w:color="auto" w:fill="auto"/>
            <w:vAlign w:val="center"/>
          </w:tcPr>
          <w:p>
            <w:pPr>
              <w:pStyle w:val="Normal(Web)"/>
              <w:divId w:val="64"/>
              <w:rPr>
                <w:vanish w:val="0"/>
              </w:rPr>
            </w:pPr>
            <w:r>
              <w:t xml:space="preserve">Tình hình vi phạm chất lượng của mặt hàng thuốc dự thầu(1): 10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65"/>
              <w:rPr>
                <w:vanish w:val="0"/>
              </w:rPr>
            </w:pPr>
            <w:r>
              <w:t xml:space="preserve">2.1. Chưa phát hiện vi phạm về chất lượng trong vòng 1 năm gần đây.</w:t>
            </w:r>
          </w:p>
        </w:tc>
        <w:tc>
          <w:tcPr>
            <w:tcW w:w="0" w:type="auto"/>
            <w:shd w:val="clear" w:color="auto" w:fill="auto"/>
            <w:vAlign w:val="center"/>
          </w:tcPr>
          <w:p>
            <w:pPr>
              <w:pStyle w:val="Normal(Web)"/>
              <w:divId w:val="66"/>
              <w:jc w:val="center"/>
              <w:rPr>
                <w:vanish w:val="0"/>
              </w:rPr>
            </w:pPr>
            <w:r>
              <w:t xml:space="preserve">10</w:t>
            </w:r>
          </w:p>
        </w:tc>
      </w:tr>
      <w:tr>
        <w:trPr>
          <w:jc w:val="left"/>
        </w:trPr>
        <w:tc>
          <w:tcPr>
            <w:tcW w:w="0" w:type="auto"/>
            <w:shd w:val="clear" w:color="auto" w:fill="auto"/>
            <w:vAlign w:val="center"/>
          </w:tcPr>
          <w:p>
            <w:pPr>
              <w:pStyle w:val="Normal(Web)"/>
              <w:divId w:val="67"/>
              <w:rPr>
                <w:vanish w:val="0"/>
              </w:rPr>
            </w:pPr>
            <w:r>
              <w:t xml:space="preserve">2.2. Có thông báo vi phạm về chất lượng trong vòng 1 năm gần đây:</w:t>
            </w:r>
          </w:p>
          <w:p>
            <w:pPr>
              <w:pStyle w:val="Normal(Web)"/>
              <w:divId w:val="68"/>
              <w:rPr>
                <w:vanish w:val="0"/>
              </w:rPr>
            </w:pPr>
            <w:r>
              <w:t xml:space="preserve">a) Vi phạm chất lượng ở Mức độ 3.</w:t>
            </w:r>
          </w:p>
          <w:p>
            <w:pPr>
              <w:pStyle w:val="Normal(Web)"/>
              <w:divId w:val="69"/>
              <w:rPr>
                <w:vanish w:val="0"/>
              </w:rPr>
            </w:pPr>
            <w:r>
              <w:t xml:space="preserve">b) Vi phạm chất lượng ở Mức độ 2.</w:t>
            </w:r>
          </w:p>
        </w:tc>
        <w:tc>
          <w:tcPr>
            <w:tcW w:w="0" w:type="auto"/>
            <w:shd w:val="clear" w:color="auto" w:fill="auto"/>
            <w:vAlign w:val="center"/>
          </w:tcPr>
          <w:p>
            <w:pPr>
              <w:pStyle w:val="Normal(Web)"/>
              <w:divId w:val="70"/>
              <w:jc w:val="center"/>
              <w:rPr>
                <w:vanish w:val="0"/>
              </w:rPr>
            </w:pPr>
            <w:r>
              <w:t xml:space="preserve">6</w:t>
            </w:r>
          </w:p>
          <w:p>
            <w:pPr>
              <w:pStyle w:val="Normal(Web)"/>
              <w:divId w:val="71"/>
              <w:jc w:val="center"/>
              <w:rPr>
                <w:vanish w:val="0"/>
              </w:rPr>
            </w:pPr>
            <w:r>
              <w:t xml:space="preserve">0</w:t>
            </w:r>
          </w:p>
        </w:tc>
      </w:tr>
      <w:tr>
        <w:trPr>
          <w:jc w:val="left"/>
        </w:trPr>
        <w:tc>
          <w:tcPr>
            <w:tcW w:w="0" w:type="auto"/>
            <w:shd w:val="clear" w:color="auto" w:fill="auto"/>
            <w:vAlign w:val="center"/>
          </w:tcPr>
          <w:p>
            <w:pPr>
              <w:pStyle w:val="Normal(Web)"/>
              <w:divId w:val="72"/>
              <w:jc w:val="center"/>
              <w:rPr>
                <w:vanish w:val="0"/>
              </w:rPr>
            </w:pPr>
            <w:r>
              <w:t xml:space="preserve">3</w:t>
            </w:r>
          </w:p>
        </w:tc>
        <w:tc>
          <w:tcPr>
            <w:tcW w:w="0" w:type="auto"/>
            <w:hMerge w:val="restart"/>
            <w:shd w:val="clear" w:color="auto" w:fill="auto"/>
            <w:vAlign w:val="center"/>
          </w:tcPr>
          <w:p>
            <w:pPr>
              <w:pStyle w:val="Normal(Web)"/>
              <w:divId w:val="73"/>
              <w:rPr>
                <w:vanish w:val="0"/>
              </w:rPr>
            </w:pPr>
            <w:r>
              <w:t xml:space="preserve">Tình hình vi phạm chất lượng của cơ sở sản xuất mặt hàng thuốc dự thầu(2): 10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74"/>
              <w:rPr>
                <w:vanish w:val="0"/>
              </w:rPr>
            </w:pPr>
            <w:r>
              <w:t xml:space="preserve">3.1. Không có thuốc vi phạm chất lượng trong vòng 1 năm gần đây.</w:t>
            </w:r>
          </w:p>
        </w:tc>
        <w:tc>
          <w:tcPr>
            <w:tcW w:w="0" w:type="auto"/>
            <w:shd w:val="clear" w:color="auto" w:fill="auto"/>
            <w:vAlign w:val="center"/>
          </w:tcPr>
          <w:p>
            <w:pPr>
              <w:pStyle w:val="Normal(Web)"/>
              <w:divId w:val="75"/>
              <w:jc w:val="center"/>
              <w:rPr>
                <w:vanish w:val="0"/>
              </w:rPr>
            </w:pPr>
            <w:r>
              <w:t xml:space="preserve">10</w:t>
            </w:r>
          </w:p>
        </w:tc>
      </w:tr>
      <w:tr>
        <w:trPr>
          <w:jc w:val="left"/>
        </w:trPr>
        <w:tc>
          <w:tcPr>
            <w:tcW w:w="0" w:type="auto"/>
            <w:shd w:val="clear" w:color="auto" w:fill="auto"/>
            <w:vAlign w:val="center"/>
          </w:tcPr>
          <w:p>
            <w:pPr>
              <w:pStyle w:val="Normal(Web)"/>
              <w:divId w:val="76"/>
              <w:rPr>
                <w:vanish w:val="0"/>
              </w:rPr>
            </w:pPr>
            <w:r>
              <w:t xml:space="preserve">3.2. Có 01 mặt hàng vi phạm chất lượng trong vòng 1 năm gần đây.</w:t>
            </w:r>
          </w:p>
        </w:tc>
        <w:tc>
          <w:tcPr>
            <w:tcW w:w="0" w:type="auto"/>
            <w:shd w:val="clear" w:color="auto" w:fill="auto"/>
            <w:vAlign w:val="center"/>
          </w:tcPr>
          <w:p>
            <w:pPr>
              <w:pStyle w:val="Normal(Web)"/>
              <w:divId w:val="77"/>
              <w:jc w:val="center"/>
              <w:rPr>
                <w:vanish w:val="0"/>
              </w:rPr>
            </w:pPr>
            <w:r>
              <w:t xml:space="preserve">9</w:t>
            </w:r>
          </w:p>
        </w:tc>
      </w:tr>
      <w:tr>
        <w:trPr>
          <w:jc w:val="left"/>
        </w:trPr>
        <w:tc>
          <w:tcPr>
            <w:tcW w:w="0" w:type="auto"/>
            <w:shd w:val="clear" w:color="auto" w:fill="auto"/>
            <w:vAlign w:val="center"/>
          </w:tcPr>
          <w:p>
            <w:pPr>
              <w:pStyle w:val="Normal(Web)"/>
              <w:divId w:val="78"/>
              <w:rPr>
                <w:vanish w:val="0"/>
              </w:rPr>
            </w:pPr>
            <w:r>
              <w:t xml:space="preserve">3.3. Có 02 mặt hàng vi phạm chất lượng trong vòng 1 năm gần đây.</w:t>
            </w:r>
          </w:p>
        </w:tc>
        <w:tc>
          <w:tcPr>
            <w:tcW w:w="0" w:type="auto"/>
            <w:shd w:val="clear" w:color="auto" w:fill="auto"/>
            <w:vAlign w:val="center"/>
          </w:tcPr>
          <w:p>
            <w:pPr>
              <w:pStyle w:val="Normal(Web)"/>
              <w:divId w:val="79"/>
              <w:jc w:val="center"/>
              <w:rPr>
                <w:vanish w:val="0"/>
              </w:rPr>
            </w:pPr>
            <w:r>
              <w:t xml:space="preserve">6</w:t>
            </w:r>
          </w:p>
        </w:tc>
      </w:tr>
      <w:tr>
        <w:trPr>
          <w:jc w:val="left"/>
        </w:trPr>
        <w:tc>
          <w:tcPr>
            <w:tcW w:w="0" w:type="auto"/>
            <w:shd w:val="clear" w:color="auto" w:fill="auto"/>
            <w:vAlign w:val="center"/>
          </w:tcPr>
          <w:p>
            <w:pPr>
              <w:pStyle w:val="Normal(Web)"/>
              <w:divId w:val="80"/>
              <w:rPr>
                <w:vanish w:val="0"/>
              </w:rPr>
            </w:pPr>
            <w:r>
              <w:t xml:space="preserve">3.4. Có từ 03 mặt hàng trở lên vi phạm chất lượng trong vòng 1 năm gần đây.</w:t>
            </w:r>
          </w:p>
        </w:tc>
        <w:tc>
          <w:tcPr>
            <w:tcW w:w="0" w:type="auto"/>
            <w:shd w:val="clear" w:color="auto" w:fill="auto"/>
            <w:vAlign w:val="center"/>
          </w:tcPr>
          <w:p>
            <w:pPr>
              <w:pStyle w:val="Normal(Web)"/>
              <w:divId w:val="81"/>
              <w:jc w:val="center"/>
              <w:rPr>
                <w:vanish w:val="0"/>
              </w:rPr>
            </w:pPr>
            <w:r>
              <w:t xml:space="preserve">0</w:t>
            </w:r>
          </w:p>
        </w:tc>
      </w:tr>
      <w:tr>
        <w:trPr>
          <w:jc w:val="left"/>
        </w:trPr>
        <w:tc>
          <w:tcPr>
            <w:tcW w:w="0" w:type="auto"/>
            <w:shd w:val="clear" w:color="auto" w:fill="auto"/>
            <w:vAlign w:val="center"/>
          </w:tcPr>
          <w:p>
            <w:pPr>
              <w:pStyle w:val="Normal(Web)"/>
              <w:divId w:val="82"/>
              <w:jc w:val="center"/>
              <w:rPr>
                <w:vanish w:val="0"/>
              </w:rPr>
            </w:pPr>
            <w:r>
              <w:t xml:space="preserve">4</w:t>
            </w:r>
          </w:p>
        </w:tc>
        <w:tc>
          <w:tcPr>
            <w:tcW w:w="0" w:type="auto"/>
            <w:hMerge w:val="restart"/>
            <w:shd w:val="clear" w:color="auto" w:fill="auto"/>
            <w:vAlign w:val="center"/>
          </w:tcPr>
          <w:p>
            <w:pPr>
              <w:pStyle w:val="Normal(Web)"/>
              <w:divId w:val="83"/>
              <w:rPr>
                <w:vanish w:val="0"/>
              </w:rPr>
            </w:pPr>
            <w:r>
              <w:t xml:space="preserve">Hạn dùng (Tuổi thọ) của thuốc (3): 10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84"/>
              <w:rPr>
                <w:vanish w:val="0"/>
              </w:rPr>
            </w:pPr>
            <w:r>
              <w:t xml:space="preserve">4.1. Mặt hàng thuốc tham dự thầu có tuổi thọ từ 3 năm trở lên.</w:t>
            </w:r>
          </w:p>
        </w:tc>
        <w:tc>
          <w:tcPr>
            <w:tcW w:w="0" w:type="auto"/>
            <w:shd w:val="clear" w:color="auto" w:fill="auto"/>
            <w:vAlign w:val="center"/>
          </w:tcPr>
          <w:p>
            <w:pPr>
              <w:pStyle w:val="Normal(Web)"/>
              <w:divId w:val="85"/>
              <w:jc w:val="center"/>
              <w:rPr>
                <w:vanish w:val="0"/>
              </w:rPr>
            </w:pPr>
            <w:r>
              <w:t xml:space="preserve">10</w:t>
            </w:r>
          </w:p>
        </w:tc>
      </w:tr>
      <w:tr>
        <w:trPr>
          <w:jc w:val="left"/>
        </w:trPr>
        <w:tc>
          <w:tcPr>
            <w:tcW w:w="0" w:type="auto"/>
            <w:shd w:val="clear" w:color="auto" w:fill="auto"/>
            <w:vAlign w:val="center"/>
          </w:tcPr>
          <w:p>
            <w:pPr>
              <w:pStyle w:val="Normal(Web)"/>
              <w:divId w:val="86"/>
              <w:rPr>
                <w:vanish w:val="0"/>
              </w:rPr>
            </w:pPr>
            <w:r>
              <w:t xml:space="preserve">4.2. Mặt hàng thuốc tham dự thầu có tuổi thọ từ 2 năm đến dưới 3 năm.</w:t>
            </w:r>
          </w:p>
        </w:tc>
        <w:tc>
          <w:tcPr>
            <w:tcW w:w="0" w:type="auto"/>
            <w:shd w:val="clear" w:color="auto" w:fill="auto"/>
            <w:vAlign w:val="center"/>
          </w:tcPr>
          <w:p>
            <w:pPr>
              <w:pStyle w:val="Normal(Web)"/>
              <w:divId w:val="87"/>
              <w:jc w:val="center"/>
              <w:rPr>
                <w:vanish w:val="0"/>
              </w:rPr>
            </w:pPr>
            <w:r>
              <w:t xml:space="preserve">9</w:t>
            </w:r>
          </w:p>
        </w:tc>
      </w:tr>
      <w:tr>
        <w:trPr>
          <w:jc w:val="left"/>
        </w:trPr>
        <w:tc>
          <w:tcPr>
            <w:tcW w:w="0" w:type="auto"/>
            <w:shd w:val="clear" w:color="auto" w:fill="auto"/>
            <w:vAlign w:val="center"/>
          </w:tcPr>
          <w:p>
            <w:pPr>
              <w:pStyle w:val="Normal(Web)"/>
              <w:divId w:val="88"/>
              <w:rPr>
                <w:vanish w:val="0"/>
              </w:rPr>
            </w:pPr>
            <w:r>
              <w:t xml:space="preserve">4.3. Mặt hàng thuốc tham dự thầu có tuổi thọ dưới 2 năm.</w:t>
            </w:r>
          </w:p>
        </w:tc>
        <w:tc>
          <w:tcPr>
            <w:tcW w:w="0" w:type="auto"/>
            <w:shd w:val="clear" w:color="auto" w:fill="auto"/>
            <w:vAlign w:val="center"/>
          </w:tcPr>
          <w:p>
            <w:pPr>
              <w:pStyle w:val="Normal(Web)"/>
              <w:divId w:val="89"/>
              <w:jc w:val="center"/>
              <w:rPr>
                <w:vanish w:val="0"/>
              </w:rPr>
            </w:pPr>
            <w:r>
              <w:t xml:space="preserve">8</w:t>
            </w:r>
          </w:p>
        </w:tc>
      </w:tr>
      <w:tr>
        <w:trPr>
          <w:jc w:val="left"/>
        </w:trPr>
        <w:tc>
          <w:tcPr>
            <w:tcW w:w="0" w:type="auto"/>
            <w:shd w:val="clear" w:color="auto" w:fill="auto"/>
            <w:vAlign w:val="center"/>
          </w:tcPr>
          <w:p>
            <w:pPr>
              <w:pStyle w:val="Normal(Web)"/>
              <w:divId w:val="90"/>
              <w:jc w:val="center"/>
              <w:rPr>
                <w:vanish w:val="0"/>
              </w:rPr>
            </w:pPr>
            <w:r>
              <w:t xml:space="preserve">5</w:t>
            </w:r>
          </w:p>
        </w:tc>
        <w:tc>
          <w:tcPr>
            <w:tcW w:w="0" w:type="auto"/>
            <w:hMerge w:val="restart"/>
            <w:shd w:val="clear" w:color="auto" w:fill="auto"/>
            <w:vAlign w:val="center"/>
          </w:tcPr>
          <w:p>
            <w:pPr>
              <w:pStyle w:val="Normal(Web)"/>
              <w:divId w:val="91"/>
              <w:rPr>
                <w:vanish w:val="0"/>
              </w:rPr>
            </w:pPr>
            <w:r>
              <w:t xml:space="preserve">Tiêu chí đánh giá về nguyên liệu (hoạt chất) sản xuất mặt hàng thuốc tham dự thầu(4):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92"/>
              <w:rPr>
                <w:vanish w:val="0"/>
              </w:rPr>
            </w:pPr>
            <w:r>
              <w:t xml:space="preserve">5.1. Nguyên liệu (hoạt chất) sản xuất tại các nước tham gia ICH.</w:t>
            </w:r>
          </w:p>
        </w:tc>
        <w:tc>
          <w:tcPr>
            <w:tcW w:w="0" w:type="auto"/>
            <w:shd w:val="clear" w:color="auto" w:fill="auto"/>
            <w:vAlign w:val="center"/>
          </w:tcPr>
          <w:p>
            <w:pPr>
              <w:pStyle w:val="Normal(Web)"/>
              <w:divId w:val="93"/>
              <w:jc w:val="center"/>
              <w:rPr>
                <w:vanish w:val="0"/>
              </w:rPr>
            </w:pPr>
            <w:r>
              <w:t xml:space="preserve">5</w:t>
            </w:r>
          </w:p>
        </w:tc>
      </w:tr>
      <w:tr>
        <w:trPr>
          <w:jc w:val="left"/>
        </w:trPr>
        <w:tc>
          <w:tcPr>
            <w:tcW w:w="0" w:type="auto"/>
            <w:shd w:val="clear" w:color="auto" w:fill="auto"/>
            <w:vAlign w:val="center"/>
          </w:tcPr>
          <w:p>
            <w:pPr>
              <w:pStyle w:val="Normal(Web)"/>
              <w:divId w:val="94"/>
              <w:rPr>
                <w:vanish w:val="0"/>
              </w:rPr>
            </w:pPr>
            <w:r>
              <w:t xml:space="preserve">5.2. Nguyên liệu (hoạt chất) sản xuất tại các nước khác không thuộc ICH được cấp chứng nhận CEP.</w:t>
            </w:r>
          </w:p>
        </w:tc>
        <w:tc>
          <w:tcPr>
            <w:tcW w:w="0" w:type="auto"/>
            <w:shd w:val="clear" w:color="auto" w:fill="auto"/>
            <w:vAlign w:val="center"/>
          </w:tcPr>
          <w:p>
            <w:pPr>
              <w:pStyle w:val="Normal(Web)"/>
              <w:divId w:val="95"/>
              <w:jc w:val="center"/>
              <w:rPr>
                <w:vanish w:val="0"/>
              </w:rPr>
            </w:pPr>
            <w:r>
              <w:t xml:space="preserve">4</w:t>
            </w:r>
          </w:p>
        </w:tc>
      </w:tr>
      <w:tr>
        <w:trPr>
          <w:jc w:val="left"/>
        </w:trPr>
        <w:tc>
          <w:tcPr>
            <w:tcW w:w="0" w:type="auto"/>
            <w:shd w:val="clear" w:color="auto" w:fill="auto"/>
            <w:vAlign w:val="center"/>
          </w:tcPr>
          <w:p>
            <w:pPr>
              <w:pStyle w:val="Normal(Web)"/>
              <w:divId w:val="96"/>
              <w:rPr>
                <w:vanish w:val="0"/>
              </w:rPr>
            </w:pPr>
            <w:r>
              <w:t xml:space="preserve">5.3. Các trường hợp khác.</w:t>
            </w:r>
          </w:p>
        </w:tc>
        <w:tc>
          <w:tcPr>
            <w:tcW w:w="0" w:type="auto"/>
            <w:shd w:val="clear" w:color="auto" w:fill="auto"/>
            <w:vAlign w:val="center"/>
          </w:tcPr>
          <w:p>
            <w:pPr>
              <w:pStyle w:val="Normal(Web)"/>
              <w:divId w:val="97"/>
              <w:jc w:val="center"/>
              <w:rPr>
                <w:vanish w:val="0"/>
              </w:rPr>
            </w:pPr>
            <w:r>
              <w:t xml:space="preserve">3</w:t>
            </w:r>
          </w:p>
        </w:tc>
      </w:tr>
      <w:tr>
        <w:trPr>
          <w:jc w:val="left"/>
        </w:trPr>
        <w:tc>
          <w:tcPr>
            <w:tcW w:w="0" w:type="auto"/>
            <w:shd w:val="clear" w:color="auto" w:fill="auto"/>
            <w:vAlign w:val="center"/>
          </w:tcPr>
          <w:p>
            <w:pPr>
              <w:pStyle w:val="Normal(Web)"/>
              <w:divId w:val="98"/>
              <w:jc w:val="center"/>
              <w:rPr>
                <w:vanish w:val="0"/>
              </w:rPr>
            </w:pPr>
            <w:r>
              <w:t xml:space="preserve">6</w:t>
            </w:r>
          </w:p>
        </w:tc>
        <w:tc>
          <w:tcPr>
            <w:tcW w:w="0" w:type="auto"/>
            <w:hMerge w:val="restart"/>
            <w:shd w:val="clear" w:color="auto" w:fill="auto"/>
            <w:vAlign w:val="center"/>
          </w:tcPr>
          <w:p>
            <w:pPr>
              <w:pStyle w:val="Normal(Web)"/>
              <w:divId w:val="99"/>
              <w:rPr>
                <w:vanish w:val="0"/>
              </w:rPr>
            </w:pPr>
            <w:r>
              <w:t xml:space="preserve">Tiêu chí đánh giá về tương đương sinh học của thuốc (5):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00"/>
              <w:rPr>
                <w:vanish w:val="0"/>
              </w:rPr>
            </w:pPr>
            <w:r>
              <w:t xml:space="preserve">6.1. Mặt hàng thuốc tham dự thầu có tài liệu chứng minh tương đương sinh học do Bộ Y tế công bố đối với thuốc phải thử tương đương sinh học </w:t>
            </w:r>
          </w:p>
        </w:tc>
        <w:tc>
          <w:tcPr>
            <w:tcW w:w="0" w:type="auto"/>
            <w:shd w:val="clear" w:color="auto" w:fill="auto"/>
            <w:vAlign w:val="center"/>
          </w:tcPr>
          <w:p>
            <w:pPr>
              <w:pStyle w:val="Normal(Web)"/>
              <w:divId w:val="101"/>
              <w:jc w:val="center"/>
              <w:rPr>
                <w:vanish w:val="0"/>
              </w:rPr>
            </w:pPr>
            <w:r>
              <w:t xml:space="preserve">5</w:t>
            </w:r>
          </w:p>
        </w:tc>
      </w:tr>
      <w:tr>
        <w:trPr>
          <w:jc w:val="left"/>
        </w:trPr>
        <w:tc>
          <w:tcPr>
            <w:tcW w:w="0" w:type="auto"/>
            <w:shd w:val="clear" w:color="auto" w:fill="auto"/>
            <w:vAlign w:val="center"/>
          </w:tcPr>
          <w:p>
            <w:pPr>
              <w:pStyle w:val="Normal(Web)"/>
              <w:divId w:val="102"/>
              <w:rPr>
                <w:vanish w:val="0"/>
              </w:rPr>
            </w:pPr>
            <w:r>
              <w:t xml:space="preserve">6.2. Mặt hàng thuốc tham dự thầu thuộc trường hợp miễn báo cáo số liệu nghiên cứu tương đương sinh học theo quy định.</w:t>
            </w:r>
          </w:p>
        </w:tc>
        <w:tc>
          <w:tcPr>
            <w:tcW w:w="0" w:type="auto"/>
            <w:shd w:val="clear" w:color="auto" w:fill="auto"/>
            <w:vAlign w:val="center"/>
          </w:tcPr>
          <w:p>
            <w:pPr>
              <w:pStyle w:val="Normal(Web)"/>
              <w:divId w:val="103"/>
              <w:jc w:val="center"/>
              <w:rPr>
                <w:vanish w:val="0"/>
              </w:rPr>
            </w:pPr>
            <w:r>
              <w:t xml:space="preserve">5</w:t>
            </w:r>
          </w:p>
        </w:tc>
      </w:tr>
      <w:tr>
        <w:trPr>
          <w:jc w:val="left"/>
        </w:trPr>
        <w:tc>
          <w:tcPr>
            <w:tcW w:w="0" w:type="auto"/>
            <w:shd w:val="clear" w:color="auto" w:fill="auto"/>
            <w:vAlign w:val="center"/>
          </w:tcPr>
          <w:p>
            <w:pPr>
              <w:pStyle w:val="Normal(Web)"/>
              <w:divId w:val="104"/>
              <w:rPr>
                <w:vanish w:val="0"/>
              </w:rPr>
            </w:pPr>
            <w:r>
              <w:t xml:space="preserve">6.3. Mặt hàng thuốc tham dự thầu không có tài liệu chứng minh tương đương sinh học do Bộ Y tế công bố.</w:t>
            </w:r>
          </w:p>
        </w:tc>
        <w:tc>
          <w:tcPr>
            <w:tcW w:w="0" w:type="auto"/>
            <w:shd w:val="clear" w:color="auto" w:fill="auto"/>
            <w:vAlign w:val="center"/>
          </w:tcPr>
          <w:p>
            <w:pPr>
              <w:pStyle w:val="Normal(Web)"/>
              <w:divId w:val="105"/>
              <w:jc w:val="center"/>
              <w:rPr>
                <w:vanish w:val="0"/>
              </w:rPr>
            </w:pPr>
            <w:r>
              <w:t xml:space="preserve">3</w:t>
            </w:r>
          </w:p>
        </w:tc>
      </w:tr>
      <w:tr>
        <w:trPr>
          <w:jc w:val="left"/>
        </w:trPr>
        <w:tc>
          <w:tcPr>
            <w:tcW w:w="0" w:type="auto"/>
            <w:shd w:val="clear" w:color="auto" w:fill="auto"/>
            <w:vAlign w:val="center"/>
          </w:tcPr>
          <w:p>
            <w:pPr>
              <w:pStyle w:val="Normal(Web)"/>
              <w:divId w:val="106"/>
              <w:jc w:val="center"/>
              <w:rPr>
                <w:vanish w:val="0"/>
              </w:rPr>
            </w:pPr>
            <w:r>
              <w:t xml:space="preserve">7*</w:t>
            </w:r>
          </w:p>
        </w:tc>
        <w:tc>
          <w:tcPr>
            <w:tcW w:w="0" w:type="auto"/>
            <w:hMerge w:val="restart"/>
            <w:shd w:val="clear" w:color="auto" w:fill="auto"/>
            <w:vAlign w:val="center"/>
          </w:tcPr>
          <w:p>
            <w:pPr>
              <w:pStyle w:val="Normal(Web)"/>
              <w:divId w:val="107"/>
              <w:rPr>
                <w:vanish w:val="0"/>
              </w:rPr>
            </w:pPr>
            <w:r>
              <w:t xml:space="preserve">Mặt hàng thuốc được sản xuất từ nguyên liệu kháng sinh sản xuất trong nước (*không đánh giá cho thuốc đông y, thuốc từ dược liệu):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08"/>
              <w:rPr>
                <w:vanish w:val="0"/>
              </w:rPr>
            </w:pPr>
            <w:r>
              <w:t xml:space="preserve">7.1. Mặt hàng thuốc tham dự thầu được sản xuất từ nguồn nguyên liệu kháng sinh sản xuất trong nước.</w:t>
            </w:r>
          </w:p>
        </w:tc>
        <w:tc>
          <w:tcPr>
            <w:tcW w:w="0" w:type="auto"/>
            <w:shd w:val="clear" w:color="auto" w:fill="auto"/>
            <w:vAlign w:val="center"/>
          </w:tcPr>
          <w:p>
            <w:pPr>
              <w:pStyle w:val="Normal(Web)"/>
              <w:divId w:val="109"/>
              <w:jc w:val="center"/>
              <w:rPr>
                <w:vanish w:val="0"/>
              </w:rPr>
            </w:pPr>
            <w:r>
              <w:t xml:space="preserve">5</w:t>
            </w:r>
          </w:p>
        </w:tc>
      </w:tr>
      <w:tr>
        <w:trPr>
          <w:jc w:val="left"/>
        </w:trPr>
        <w:tc>
          <w:tcPr>
            <w:tcW w:w="0" w:type="auto"/>
            <w:shd w:val="clear" w:color="auto" w:fill="auto"/>
            <w:vAlign w:val="center"/>
          </w:tcPr>
          <w:p>
            <w:pPr>
              <w:pStyle w:val="Normal(Web)"/>
              <w:divId w:val="110"/>
              <w:rPr>
                <w:vanish w:val="0"/>
              </w:rPr>
            </w:pPr>
            <w:r>
              <w:t xml:space="preserve">7.2. Mặt hàng thuốc tham dự thầu được sản xuất từ nguồn nguyên liệu không phải là kháng sinh sản xuất trong nước.</w:t>
            </w:r>
          </w:p>
        </w:tc>
        <w:tc>
          <w:tcPr>
            <w:tcW w:w="0" w:type="auto"/>
            <w:shd w:val="clear" w:color="auto" w:fill="auto"/>
            <w:vAlign w:val="center"/>
          </w:tcPr>
          <w:p>
            <w:pPr>
              <w:pStyle w:val="Normal(Web)"/>
              <w:divId w:val="111"/>
              <w:jc w:val="center"/>
              <w:rPr>
                <w:vanish w:val="0"/>
              </w:rPr>
            </w:pPr>
            <w:r>
              <w:t xml:space="preserve">4</w:t>
            </w:r>
          </w:p>
        </w:tc>
      </w:tr>
      <w:tr>
        <w:trPr>
          <w:jc w:val="left"/>
        </w:trPr>
        <w:tc>
          <w:tcPr>
            <w:tcW w:w="0" w:type="auto"/>
            <w:shd w:val="clear" w:color="auto" w:fill="auto"/>
            <w:vAlign w:val="center"/>
          </w:tcPr>
          <w:p>
            <w:pPr>
              <w:pStyle w:val="Normal(Web)"/>
              <w:divId w:val="112"/>
              <w:jc w:val="center"/>
              <w:rPr>
                <w:vanish w:val="0"/>
              </w:rPr>
            </w:pPr>
            <w:r>
              <w:t xml:space="preserve">8*</w:t>
            </w:r>
          </w:p>
        </w:tc>
        <w:tc>
          <w:tcPr>
            <w:tcW w:w="0" w:type="auto"/>
            <w:hMerge w:val="restart"/>
            <w:shd w:val="clear" w:color="auto" w:fill="auto"/>
            <w:vAlign w:val="center"/>
          </w:tcPr>
          <w:p>
            <w:pPr>
              <w:pStyle w:val="Normal(Web)"/>
              <w:divId w:val="113"/>
              <w:rPr>
                <w:vanish w:val="0"/>
              </w:rPr>
            </w:pPr>
            <w:r>
              <w:t xml:space="preserve">Mặt hàng thuốc tham dự thầu là thuốc đông y, thuốc từ dược liệu (*Chỉ đánh giá cho thuốc đông y thuốc từ dược liệu):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14"/>
              <w:rPr>
                <w:vanish w:val="0"/>
              </w:rPr>
            </w:pPr>
            <w:r>
              <w:t xml:space="preserve">8.1. Mặt hàng thuốc tham dự thầu được sản xuất từ dược liệu có chứng nhận đạt GACP.</w:t>
            </w:r>
          </w:p>
        </w:tc>
        <w:tc>
          <w:tcPr>
            <w:tcW w:w="0" w:type="auto"/>
            <w:shd w:val="clear" w:color="auto" w:fill="auto"/>
            <w:vAlign w:val="center"/>
          </w:tcPr>
          <w:p>
            <w:pPr>
              <w:pStyle w:val="Normal(Web)"/>
              <w:divId w:val="115"/>
              <w:jc w:val="center"/>
              <w:rPr>
                <w:vanish w:val="0"/>
              </w:rPr>
            </w:pPr>
            <w:r>
              <w:t xml:space="preserve">5</w:t>
            </w:r>
          </w:p>
        </w:tc>
      </w:tr>
      <w:tr>
        <w:trPr>
          <w:jc w:val="left"/>
        </w:trPr>
        <w:tc>
          <w:tcPr>
            <w:tcW w:w="0" w:type="auto"/>
            <w:shd w:val="clear" w:color="auto" w:fill="auto"/>
            <w:vAlign w:val="center"/>
          </w:tcPr>
          <w:p>
            <w:pPr>
              <w:pStyle w:val="Normal(Web)"/>
              <w:divId w:val="116"/>
              <w:rPr>
                <w:vanish w:val="0"/>
              </w:rPr>
            </w:pPr>
            <w:r>
              <w:t xml:space="preserve">8.2. Mặt hàng thuốc tham dự thầu được sản xuất từ dược liệu có nguồn gốc xuất xứ rõ ràng.</w:t>
            </w:r>
          </w:p>
        </w:tc>
        <w:tc>
          <w:tcPr>
            <w:tcW w:w="0" w:type="auto"/>
            <w:shd w:val="clear" w:color="auto" w:fill="auto"/>
            <w:vAlign w:val="center"/>
          </w:tcPr>
          <w:p>
            <w:pPr>
              <w:pStyle w:val="Normal(Web)"/>
              <w:divId w:val="117"/>
              <w:jc w:val="center"/>
              <w:rPr>
                <w:vanish w:val="0"/>
              </w:rPr>
            </w:pPr>
            <w:r>
              <w:t xml:space="preserve">3</w:t>
            </w:r>
          </w:p>
        </w:tc>
      </w:tr>
      <w:tr>
        <w:trPr>
          <w:jc w:val="left"/>
        </w:trPr>
        <w:tc>
          <w:tcPr>
            <w:tcW w:w="0" w:type="auto"/>
            <w:shd w:val="clear" w:color="auto" w:fill="auto"/>
            <w:vAlign w:val="center"/>
          </w:tcPr>
          <w:p>
            <w:pPr>
              <w:pStyle w:val="Normal(Web)"/>
              <w:divId w:val="118"/>
              <w:rPr>
                <w:vanish w:val="0"/>
              </w:rPr>
            </w:pPr>
            <w:r>
              <w:t xml:space="preserve">8.3. Mặt hàng thuốc tham dự thầu được sản xuất từ dược liệu không chứng minh được nguồn gốc xuất xứ rõ ràng­.</w:t>
            </w:r>
          </w:p>
        </w:tc>
        <w:tc>
          <w:tcPr>
            <w:tcW w:w="0" w:type="auto"/>
            <w:shd w:val="clear" w:color="auto" w:fill="auto"/>
            <w:vAlign w:val="center"/>
          </w:tcPr>
          <w:p>
            <w:pPr>
              <w:pStyle w:val="Normal(Web)"/>
              <w:divId w:val="119"/>
              <w:jc w:val="center"/>
              <w:rPr>
                <w:vanish w:val="0"/>
              </w:rPr>
            </w:pPr>
            <w:r>
              <w:t xml:space="preserve">0</w:t>
            </w:r>
          </w:p>
        </w:tc>
      </w:tr>
      <w:tr>
        <w:trPr>
          <w:jc w:val="left"/>
        </w:trPr>
        <w:tc>
          <w:tcPr>
            <w:tcW w:w="0" w:type="auto"/>
            <w:shd w:val="clear" w:color="auto" w:fill="auto"/>
            <w:vAlign w:val="center"/>
          </w:tcPr>
          <w:p>
            <w:pPr>
              <w:pStyle w:val="Normal(Web)"/>
              <w:divId w:val="120"/>
              <w:jc w:val="center"/>
              <w:rPr>
                <w:vanish w:val="0"/>
              </w:rPr>
            </w:pPr>
            <w:r>
              <w:t xml:space="preserve">II</w:t>
            </w:r>
          </w:p>
        </w:tc>
        <w:tc>
          <w:tcPr>
            <w:tcW w:w="0" w:type="auto"/>
            <w:hMerge w:val="restart"/>
            <w:shd w:val="clear" w:color="auto" w:fill="auto"/>
            <w:vAlign w:val="center"/>
          </w:tcPr>
          <w:p>
            <w:pPr>
              <w:pStyle w:val="Normal(Web)"/>
              <w:divId w:val="121"/>
              <w:rPr>
                <w:vanish w:val="0"/>
              </w:rPr>
            </w:pPr>
            <w:r>
              <w:t xml:space="preserve">Các tiêu chí đánh giá về đóng gói, bảo quản, giao hàng: 30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22"/>
              <w:jc w:val="center"/>
              <w:rPr>
                <w:vanish w:val="0"/>
              </w:rPr>
            </w:pPr>
            <w:r>
              <w:t xml:space="preserve">9</w:t>
            </w:r>
          </w:p>
        </w:tc>
        <w:tc>
          <w:tcPr>
            <w:tcW w:w="0" w:type="auto"/>
            <w:hMerge w:val="restart"/>
            <w:shd w:val="clear" w:color="auto" w:fill="auto"/>
            <w:vAlign w:val="center"/>
          </w:tcPr>
          <w:p>
            <w:pPr>
              <w:pStyle w:val="Normal(Web)"/>
              <w:divId w:val="123"/>
              <w:rPr>
                <w:vanish w:val="0"/>
              </w:rPr>
            </w:pPr>
            <w:r>
              <w:t xml:space="preserve">Mặt hàng thuốc được cung ứng bởi cơ sở: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24"/>
              <w:rPr>
                <w:vanish w:val="0"/>
              </w:rPr>
            </w:pPr>
            <w:r>
              <w:t xml:space="preserve">9.1. Là doanh nghiệp sản xuất mặt hàng thuốc dự thầu.</w:t>
            </w:r>
          </w:p>
        </w:tc>
        <w:tc>
          <w:tcPr>
            <w:tcW w:w="0" w:type="auto"/>
            <w:shd w:val="clear" w:color="auto" w:fill="auto"/>
            <w:vAlign w:val="center"/>
          </w:tcPr>
          <w:p>
            <w:pPr>
              <w:pStyle w:val="Normal(Web)"/>
              <w:divId w:val="125"/>
              <w:jc w:val="center"/>
              <w:rPr>
                <w:vanish w:val="0"/>
              </w:rPr>
            </w:pPr>
            <w:r>
              <w:t xml:space="preserve">5</w:t>
            </w:r>
          </w:p>
        </w:tc>
      </w:tr>
      <w:tr>
        <w:trPr>
          <w:jc w:val="left"/>
        </w:trPr>
        <w:tc>
          <w:tcPr>
            <w:tcW w:w="0" w:type="auto"/>
            <w:shd w:val="clear" w:color="auto" w:fill="auto"/>
            <w:vAlign w:val="center"/>
          </w:tcPr>
          <w:p>
            <w:pPr>
              <w:pStyle w:val="Normal(Web)"/>
              <w:divId w:val="126"/>
              <w:rPr>
                <w:vanish w:val="0"/>
              </w:rPr>
            </w:pPr>
            <w:r>
              <w:t xml:space="preserve">9.2. Là doanh nghiệp nhập khẩu trực tiếp mặt hàng thuốc dự thầu.(6)</w:t>
            </w:r>
          </w:p>
        </w:tc>
        <w:tc>
          <w:tcPr>
            <w:tcW w:w="0" w:type="auto"/>
            <w:shd w:val="clear" w:color="auto" w:fill="auto"/>
            <w:vAlign w:val="center"/>
          </w:tcPr>
          <w:p>
            <w:pPr>
              <w:pStyle w:val="Normal(Web)"/>
              <w:divId w:val="127"/>
              <w:jc w:val="center"/>
              <w:rPr>
                <w:vanish w:val="0"/>
              </w:rPr>
            </w:pPr>
            <w:r>
              <w:t xml:space="preserve">4</w:t>
            </w:r>
          </w:p>
        </w:tc>
      </w:tr>
      <w:tr>
        <w:trPr>
          <w:jc w:val="left"/>
        </w:trPr>
        <w:tc>
          <w:tcPr>
            <w:tcW w:w="0" w:type="auto"/>
            <w:shd w:val="clear" w:color="auto" w:fill="auto"/>
            <w:vAlign w:val="center"/>
          </w:tcPr>
          <w:p>
            <w:pPr>
              <w:pStyle w:val="Normal(Web)"/>
              <w:divId w:val="128"/>
              <w:rPr>
                <w:vanish w:val="0"/>
              </w:rPr>
            </w:pPr>
            <w:r>
              <w:t xml:space="preserve">9.3. Không phải doanh nghiệp sản xuất, nhập khẩu trực tiếp mặt hàng thuốc dự thầu.</w:t>
            </w:r>
          </w:p>
        </w:tc>
        <w:tc>
          <w:tcPr>
            <w:tcW w:w="0" w:type="auto"/>
            <w:shd w:val="clear" w:color="auto" w:fill="auto"/>
            <w:vAlign w:val="center"/>
          </w:tcPr>
          <w:p>
            <w:pPr>
              <w:pStyle w:val="Normal(Web)"/>
              <w:divId w:val="129"/>
              <w:jc w:val="center"/>
              <w:rPr>
                <w:vanish w:val="0"/>
              </w:rPr>
            </w:pPr>
            <w:r>
              <w:t xml:space="preserve">3</w:t>
            </w:r>
          </w:p>
        </w:tc>
      </w:tr>
      <w:tr>
        <w:trPr>
          <w:jc w:val="left"/>
        </w:trPr>
        <w:tc>
          <w:tcPr>
            <w:tcW w:w="0" w:type="auto"/>
            <w:shd w:val="clear" w:color="auto" w:fill="auto"/>
            <w:vAlign w:val="center"/>
          </w:tcPr>
          <w:p>
            <w:pPr>
              <w:pStyle w:val="Normal(Web)"/>
              <w:divId w:val="130"/>
              <w:jc w:val="center"/>
              <w:rPr>
                <w:vanish w:val="0"/>
              </w:rPr>
            </w:pPr>
            <w:r>
              <w:t xml:space="preserve">10</w:t>
            </w:r>
          </w:p>
        </w:tc>
        <w:tc>
          <w:tcPr>
            <w:tcW w:w="0" w:type="auto"/>
            <w:hMerge w:val="restart"/>
            <w:shd w:val="clear" w:color="auto" w:fill="auto"/>
            <w:vAlign w:val="center"/>
          </w:tcPr>
          <w:p>
            <w:pPr>
              <w:pStyle w:val="Normal(Web)"/>
              <w:divId w:val="131"/>
              <w:rPr>
                <w:vanish w:val="0"/>
              </w:rPr>
            </w:pPr>
            <w:r>
              <w:t xml:space="preserve">Mặt hàng thuốc được cung ứng bởi nhà thầu có kinh nghiệm cung ứng thuốc(7): 5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32"/>
              <w:rPr>
                <w:vanish w:val="0"/>
              </w:rPr>
            </w:pPr>
            <w:r>
              <w:t xml:space="preserve">10.1. Đã cung ứng thuốc cho cơ sở y tế từ 3 năm trở lên.</w:t>
            </w:r>
          </w:p>
        </w:tc>
        <w:tc>
          <w:tcPr>
            <w:tcW w:w="0" w:type="auto"/>
            <w:shd w:val="clear" w:color="auto" w:fill="auto"/>
            <w:vAlign w:val="center"/>
          </w:tcPr>
          <w:p>
            <w:pPr>
              <w:pStyle w:val="Normal(Web)"/>
              <w:divId w:val="133"/>
              <w:jc w:val="center"/>
              <w:rPr>
                <w:vanish w:val="0"/>
              </w:rPr>
            </w:pPr>
            <w:r>
              <w:t xml:space="preserve">5</w:t>
            </w:r>
          </w:p>
        </w:tc>
      </w:tr>
      <w:tr>
        <w:trPr>
          <w:jc w:val="left"/>
        </w:trPr>
        <w:tc>
          <w:tcPr>
            <w:tcW w:w="0" w:type="auto"/>
            <w:shd w:val="clear" w:color="auto" w:fill="auto"/>
            <w:vAlign w:val="center"/>
          </w:tcPr>
          <w:p>
            <w:pPr>
              <w:pStyle w:val="Normal(Web)"/>
              <w:divId w:val="134"/>
              <w:rPr>
                <w:vanish w:val="0"/>
              </w:rPr>
            </w:pPr>
            <w:r>
              <w:t xml:space="preserve">10.2. Đã cung ứng thuốc cho cơ sở y tế dưới 3 năm.</w:t>
            </w:r>
          </w:p>
        </w:tc>
        <w:tc>
          <w:tcPr>
            <w:tcW w:w="0" w:type="auto"/>
            <w:shd w:val="clear" w:color="auto" w:fill="auto"/>
            <w:vAlign w:val="center"/>
          </w:tcPr>
          <w:p>
            <w:pPr>
              <w:pStyle w:val="Normal(Web)"/>
              <w:divId w:val="135"/>
              <w:jc w:val="center"/>
              <w:rPr>
                <w:vanish w:val="0"/>
              </w:rPr>
            </w:pPr>
            <w:r>
              <w:t xml:space="preserve">4</w:t>
            </w:r>
          </w:p>
        </w:tc>
      </w:tr>
      <w:tr>
        <w:trPr>
          <w:jc w:val="left"/>
        </w:trPr>
        <w:tc>
          <w:tcPr>
            <w:tcW w:w="0" w:type="auto"/>
            <w:shd w:val="clear" w:color="auto" w:fill="auto"/>
            <w:vAlign w:val="center"/>
          </w:tcPr>
          <w:p>
            <w:pPr>
              <w:pStyle w:val="Normal(Web)"/>
              <w:divId w:val="136"/>
              <w:rPr>
                <w:vanish w:val="0"/>
              </w:rPr>
            </w:pPr>
            <w:r>
              <w:t xml:space="preserve">10.3. Chưa cung ứng thuốc cho cơ sở y tế.</w:t>
            </w:r>
          </w:p>
        </w:tc>
        <w:tc>
          <w:tcPr>
            <w:tcW w:w="0" w:type="auto"/>
            <w:shd w:val="clear" w:color="auto" w:fill="auto"/>
            <w:vAlign w:val="center"/>
          </w:tcPr>
          <w:p>
            <w:pPr>
              <w:pStyle w:val="Normal(Web)"/>
              <w:divId w:val="137"/>
              <w:jc w:val="center"/>
              <w:rPr>
                <w:vanish w:val="0"/>
              </w:rPr>
            </w:pPr>
            <w:r>
              <w:t xml:space="preserve">3</w:t>
            </w:r>
          </w:p>
        </w:tc>
      </w:tr>
      <w:tr>
        <w:trPr>
          <w:jc w:val="left"/>
        </w:trPr>
        <w:tc>
          <w:tcPr>
            <w:tcW w:w="0" w:type="auto"/>
            <w:shd w:val="clear" w:color="auto" w:fill="auto"/>
            <w:vAlign w:val="center"/>
          </w:tcPr>
          <w:p>
            <w:pPr>
              <w:pStyle w:val="Normal(Web)"/>
              <w:divId w:val="138"/>
              <w:jc w:val="center"/>
              <w:rPr>
                <w:vanish w:val="0"/>
              </w:rPr>
            </w:pPr>
            <w:r>
              <w:t xml:space="preserve">11</w:t>
            </w:r>
          </w:p>
        </w:tc>
        <w:tc>
          <w:tcPr>
            <w:tcW w:w="0" w:type="auto"/>
            <w:hMerge w:val="restart"/>
            <w:shd w:val="clear" w:color="auto" w:fill="auto"/>
            <w:vAlign w:val="center"/>
          </w:tcPr>
          <w:p>
            <w:pPr>
              <w:pStyle w:val="Normal(Web)"/>
              <w:divId w:val="139"/>
              <w:rPr>
                <w:vanish w:val="0"/>
              </w:rPr>
            </w:pPr>
            <w:r>
              <w:t xml:space="preserve">Khả năng đáp ứng yêu cầu của nhà thầu về điều kiện giao hàng(8): 3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40"/>
              <w:rPr>
                <w:vanish w:val="0"/>
              </w:rPr>
            </w:pPr>
            <w:r>
              <w:t xml:space="preserve">11.1. Đáp ứng được yêu cầu về điều kiện giao hàng tại hồ sơ mời thầu.</w:t>
            </w:r>
          </w:p>
        </w:tc>
        <w:tc>
          <w:tcPr>
            <w:tcW w:w="0" w:type="auto"/>
            <w:shd w:val="clear" w:color="auto" w:fill="auto"/>
            <w:vAlign w:val="center"/>
          </w:tcPr>
          <w:p>
            <w:pPr>
              <w:pStyle w:val="Normal(Web)"/>
              <w:divId w:val="141"/>
              <w:jc w:val="center"/>
              <w:rPr>
                <w:vanish w:val="0"/>
              </w:rPr>
            </w:pPr>
            <w:r>
              <w:t xml:space="preserve">3</w:t>
            </w:r>
          </w:p>
        </w:tc>
      </w:tr>
      <w:tr>
        <w:trPr>
          <w:jc w:val="left"/>
        </w:trPr>
        <w:tc>
          <w:tcPr>
            <w:tcW w:w="0" w:type="auto"/>
            <w:shd w:val="clear" w:color="auto" w:fill="auto"/>
            <w:vAlign w:val="center"/>
          </w:tcPr>
          <w:p>
            <w:pPr>
              <w:pStyle w:val="Normal(Web)"/>
              <w:divId w:val="142"/>
              <w:rPr>
                <w:vanish w:val="0"/>
              </w:rPr>
            </w:pPr>
            <w:r>
              <w:t xml:space="preserve">11.2. Không đáp ứng được yêu cầu về điều kiện giao hàng tại hồ sơ mời thầu.</w:t>
            </w:r>
          </w:p>
        </w:tc>
        <w:tc>
          <w:tcPr>
            <w:tcW w:w="0" w:type="auto"/>
            <w:shd w:val="clear" w:color="auto" w:fill="auto"/>
            <w:vAlign w:val="center"/>
          </w:tcPr>
          <w:p>
            <w:pPr>
              <w:pStyle w:val="Normal(Web)"/>
              <w:divId w:val="143"/>
              <w:jc w:val="center"/>
              <w:rPr>
                <w:vanish w:val="0"/>
              </w:rPr>
            </w:pPr>
            <w:r>
              <w:t xml:space="preserve">0</w:t>
            </w:r>
          </w:p>
        </w:tc>
      </w:tr>
      <w:tr>
        <w:trPr>
          <w:jc w:val="left"/>
        </w:trPr>
        <w:tc>
          <w:tcPr>
            <w:tcW w:w="0" w:type="auto"/>
            <w:shd w:val="clear" w:color="auto" w:fill="auto"/>
            <w:vAlign w:val="center"/>
          </w:tcPr>
          <w:p>
            <w:pPr>
              <w:pStyle w:val="Normal(Web)"/>
              <w:divId w:val="144"/>
              <w:jc w:val="center"/>
              <w:rPr>
                <w:vanish w:val="0"/>
              </w:rPr>
            </w:pPr>
            <w:r>
              <w:t xml:space="preserve">12</w:t>
            </w:r>
          </w:p>
        </w:tc>
        <w:tc>
          <w:tcPr>
            <w:tcW w:w="0" w:type="auto"/>
            <w:hMerge w:val="restart"/>
            <w:shd w:val="clear" w:color="auto" w:fill="auto"/>
            <w:vAlign w:val="center"/>
          </w:tcPr>
          <w:p>
            <w:pPr>
              <w:pStyle w:val="Normal(Web)"/>
              <w:divId w:val="145"/>
              <w:rPr>
                <w:vanish w:val="0"/>
              </w:rPr>
            </w:pPr>
            <w:r>
              <w:t xml:space="preserve">Mặt hàng thuốc được cung ứng bởi nhà thầu có uy tín trong thực hiện hợp đồng(9): 8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46"/>
              <w:rPr>
                <w:vanish w:val="0"/>
              </w:rPr>
            </w:pPr>
            <w:r>
              <w:t xml:space="preserve">12.1. Chưa có vi phạm trong đấu thầu cung ứng thuốc cho các cơ sở y tế.</w:t>
            </w:r>
          </w:p>
          <w:p>
            <w:pPr>
              <w:pStyle w:val="Normal(Web)"/>
              <w:divId w:val="147"/>
              <w:rPr>
                <w:vanish w:val="0"/>
              </w:rPr>
            </w:pPr>
            <w:r>
              <w:t xml:space="preserve">a) Đã trúng thầu tại đơn vị, cung ứng thuốc bảo đảm chất lượng, đúng tiến độ theo hợp đồng.</w:t>
            </w:r>
          </w:p>
          <w:p>
            <w:pPr>
              <w:pStyle w:val="Normal(Web)"/>
              <w:divId w:val="148"/>
              <w:rPr>
                <w:vanish w:val="0"/>
              </w:rPr>
            </w:pPr>
            <w:r>
              <w:t xml:space="preserve">b) Đã trúng thầu tại đơn vị, cung ứng thuốc bảo đảm chất lượng nhưng chưa đúng tiến độ theo hợp đồng.</w:t>
            </w:r>
          </w:p>
          <w:p>
            <w:pPr>
              <w:pStyle w:val="Normal(Web)"/>
              <w:divId w:val="149"/>
              <w:rPr>
                <w:vanish w:val="0"/>
              </w:rPr>
            </w:pPr>
            <w:r>
              <w:t xml:space="preserve">c) Chưa trúng thầu tại đơn vị.</w:t>
            </w:r>
          </w:p>
        </w:tc>
        <w:tc>
          <w:tcPr>
            <w:tcW w:w="0" w:type="auto"/>
            <w:shd w:val="clear" w:color="auto" w:fill="auto"/>
            <w:vAlign w:val="center"/>
          </w:tcPr>
          <w:p>
            <w:pPr>
              <w:pStyle w:val="Normal(Web)"/>
              <w:divId w:val="150"/>
              <w:jc w:val="center"/>
              <w:rPr>
                <w:vanish w:val="0"/>
              </w:rPr>
            </w:pPr>
            <w:r>
              <w:t xml:space="preserve">8</w:t>
            </w:r>
          </w:p>
          <w:p>
            <w:pPr>
              <w:pStyle w:val="Normal(Web)"/>
              <w:divId w:val="151"/>
              <w:jc w:val="center"/>
              <w:rPr>
                <w:vanish w:val="0"/>
              </w:rPr>
            </w:pPr>
            <w:r>
              <w:t xml:space="preserve">7</w:t>
            </w:r>
          </w:p>
          <w:p>
            <w:pPr>
              <w:pStyle w:val="Normal(Web)"/>
              <w:divId w:val="152"/>
              <w:jc w:val="center"/>
              <w:rPr>
                <w:vanish w:val="0"/>
              </w:rPr>
            </w:pPr>
            <w:r>
              <w:rPr/>
              <w:br/>
            </w:r>
            <w:r>
              <w:t xml:space="preserve">6</w:t>
            </w:r>
          </w:p>
        </w:tc>
      </w:tr>
      <w:tr>
        <w:trPr>
          <w:jc w:val="left"/>
        </w:trPr>
        <w:tc>
          <w:tcPr>
            <w:tcW w:w="0" w:type="auto"/>
            <w:shd w:val="clear" w:color="auto" w:fill="auto"/>
            <w:vAlign w:val="center"/>
          </w:tcPr>
          <w:p>
            <w:pPr>
              <w:pStyle w:val="Normal(Web)"/>
              <w:divId w:val="153"/>
              <w:rPr>
                <w:vanish w:val="0"/>
              </w:rPr>
            </w:pPr>
            <w:r>
              <w:t xml:space="preserve">12.2. Có vi phạm trong đấu thầu cung ứng thuốc cho các cơ sở y tế.</w:t>
            </w:r>
          </w:p>
        </w:tc>
        <w:tc>
          <w:tcPr>
            <w:tcW w:w="0" w:type="auto"/>
            <w:shd w:val="clear" w:color="auto" w:fill="auto"/>
            <w:vAlign w:val="center"/>
          </w:tcPr>
          <w:p>
            <w:pPr>
              <w:pStyle w:val="Normal(Web)"/>
              <w:divId w:val="154"/>
              <w:jc w:val="center"/>
              <w:rPr>
                <w:vanish w:val="0"/>
              </w:rPr>
            </w:pPr>
            <w:r>
              <w:t xml:space="preserve">5</w:t>
            </w:r>
          </w:p>
        </w:tc>
      </w:tr>
      <w:tr>
        <w:trPr>
          <w:jc w:val="left"/>
        </w:trPr>
        <w:tc>
          <w:tcPr>
            <w:tcW w:w="0" w:type="auto"/>
            <w:shd w:val="clear" w:color="auto" w:fill="auto"/>
            <w:vAlign w:val="center"/>
          </w:tcPr>
          <w:p>
            <w:pPr>
              <w:pStyle w:val="Normal(Web)"/>
              <w:divId w:val="155"/>
              <w:jc w:val="center"/>
              <w:rPr>
                <w:vanish w:val="0"/>
              </w:rPr>
            </w:pPr>
            <w:r>
              <w:t xml:space="preserve">13</w:t>
            </w:r>
          </w:p>
        </w:tc>
        <w:tc>
          <w:tcPr>
            <w:tcW w:w="0" w:type="auto"/>
            <w:hMerge w:val="restart"/>
            <w:shd w:val="clear" w:color="auto" w:fill="auto"/>
            <w:vAlign w:val="center"/>
          </w:tcPr>
          <w:p>
            <w:pPr>
              <w:pStyle w:val="Normal(Web)"/>
              <w:divId w:val="156"/>
              <w:rPr>
                <w:vanish w:val="0"/>
              </w:rPr>
            </w:pPr>
            <w:r>
              <w:t xml:space="preserve">Mặt hàng thuốc tham dự thầu bởi nhà thầu có tổ chức chuỗi nhà thuốc GPP: 3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57"/>
              <w:rPr>
                <w:vanish w:val="0"/>
              </w:rPr>
            </w:pPr>
            <w:r>
              <w:t xml:space="preserve">13.1. Nhà thầu là doanh nghiệp có tổ chức chuỗi nhà thuốc GPP.</w:t>
            </w:r>
          </w:p>
        </w:tc>
        <w:tc>
          <w:tcPr>
            <w:tcW w:w="0" w:type="auto"/>
            <w:shd w:val="clear" w:color="auto" w:fill="auto"/>
            <w:vAlign w:val="center"/>
          </w:tcPr>
          <w:p>
            <w:pPr>
              <w:pStyle w:val="Normal(Web)"/>
              <w:divId w:val="158"/>
              <w:jc w:val="center"/>
              <w:rPr>
                <w:vanish w:val="0"/>
              </w:rPr>
            </w:pPr>
            <w:r>
              <w:t xml:space="preserve">3</w:t>
            </w:r>
          </w:p>
        </w:tc>
      </w:tr>
      <w:tr>
        <w:trPr>
          <w:jc w:val="left"/>
        </w:trPr>
        <w:tc>
          <w:tcPr>
            <w:tcW w:w="0" w:type="auto"/>
            <w:shd w:val="clear" w:color="auto" w:fill="auto"/>
            <w:vAlign w:val="center"/>
          </w:tcPr>
          <w:p>
            <w:pPr>
              <w:pStyle w:val="Normal(Web)"/>
              <w:divId w:val="159"/>
              <w:rPr>
                <w:vanish w:val="0"/>
              </w:rPr>
            </w:pPr>
            <w:r>
              <w:t xml:space="preserve">13.2. Nhà thầu không phải là doanh nghiệp có tổ chức chuỗi nhà thuốc GPP.</w:t>
            </w:r>
          </w:p>
        </w:tc>
        <w:tc>
          <w:tcPr>
            <w:tcW w:w="0" w:type="auto"/>
            <w:shd w:val="clear" w:color="auto" w:fill="auto"/>
            <w:vAlign w:val="center"/>
          </w:tcPr>
          <w:p>
            <w:pPr>
              <w:pStyle w:val="Normal(Web)"/>
              <w:divId w:val="160"/>
              <w:jc w:val="center"/>
              <w:rPr>
                <w:vanish w:val="0"/>
              </w:rPr>
            </w:pPr>
            <w:r>
              <w:t xml:space="preserve">2</w:t>
            </w:r>
          </w:p>
        </w:tc>
      </w:tr>
      <w:tr>
        <w:trPr>
          <w:jc w:val="left"/>
        </w:trPr>
        <w:tc>
          <w:tcPr>
            <w:tcW w:w="0" w:type="auto"/>
            <w:shd w:val="clear" w:color="auto" w:fill="auto"/>
            <w:vAlign w:val="center"/>
          </w:tcPr>
          <w:p>
            <w:pPr>
              <w:pStyle w:val="Normal(Web)"/>
              <w:divId w:val="161"/>
              <w:jc w:val="center"/>
              <w:rPr>
                <w:vanish w:val="0"/>
              </w:rPr>
            </w:pPr>
            <w:r>
              <w:t xml:space="preserve">14</w:t>
            </w:r>
          </w:p>
        </w:tc>
        <w:tc>
          <w:tcPr>
            <w:tcW w:w="0" w:type="auto"/>
            <w:hMerge w:val="restart"/>
            <w:shd w:val="clear" w:color="auto" w:fill="auto"/>
            <w:vAlign w:val="center"/>
          </w:tcPr>
          <w:p>
            <w:pPr>
              <w:pStyle w:val="Normal(Web)"/>
              <w:divId w:val="162"/>
              <w:rPr>
                <w:vanish w:val="0"/>
              </w:rPr>
            </w:pPr>
            <w:r>
              <w:t xml:space="preserve">Mặt hàng thuốc tham dự thầu bởi nhà thầu có tổ chức Trung tâm phân phối thuốc: 3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63"/>
              <w:rPr>
                <w:vanish w:val="0"/>
              </w:rPr>
            </w:pPr>
            <w:r>
              <w:t xml:space="preserve">14.1. Nhà thầu là doanh nghiệp tổ chức Trung tâm phân phối thuốc.</w:t>
            </w:r>
          </w:p>
        </w:tc>
        <w:tc>
          <w:tcPr>
            <w:tcW w:w="0" w:type="auto"/>
            <w:shd w:val="clear" w:color="auto" w:fill="auto"/>
            <w:vAlign w:val="center"/>
          </w:tcPr>
          <w:p>
            <w:pPr>
              <w:pStyle w:val="Normal(Web)"/>
              <w:divId w:val="164"/>
              <w:jc w:val="center"/>
              <w:rPr>
                <w:vanish w:val="0"/>
              </w:rPr>
            </w:pPr>
            <w:r>
              <w:t xml:space="preserve">3</w:t>
            </w:r>
          </w:p>
        </w:tc>
      </w:tr>
      <w:tr>
        <w:trPr>
          <w:jc w:val="left"/>
        </w:trPr>
        <w:tc>
          <w:tcPr>
            <w:tcW w:w="0" w:type="auto"/>
            <w:shd w:val="clear" w:color="auto" w:fill="auto"/>
            <w:vAlign w:val="center"/>
          </w:tcPr>
          <w:p>
            <w:pPr>
              <w:pStyle w:val="Normal(Web)"/>
              <w:divId w:val="165"/>
              <w:rPr>
                <w:vanish w:val="0"/>
              </w:rPr>
            </w:pPr>
            <w:r>
              <w:t xml:space="preserve">14.2. Nhà thầu không phải là doanh nghiệp tổ chức Trung tâm phân phối thuốc.</w:t>
            </w:r>
          </w:p>
        </w:tc>
        <w:tc>
          <w:tcPr>
            <w:tcW w:w="0" w:type="auto"/>
            <w:shd w:val="clear" w:color="auto" w:fill="auto"/>
            <w:vAlign w:val="center"/>
          </w:tcPr>
          <w:p>
            <w:pPr>
              <w:pStyle w:val="Normal(Web)"/>
              <w:divId w:val="166"/>
              <w:jc w:val="center"/>
              <w:rPr>
                <w:vanish w:val="0"/>
              </w:rPr>
            </w:pPr>
            <w:r>
              <w:t xml:space="preserve">2</w:t>
            </w:r>
          </w:p>
        </w:tc>
      </w:tr>
      <w:tr>
        <w:trPr>
          <w:jc w:val="left"/>
        </w:trPr>
        <w:tc>
          <w:tcPr>
            <w:tcW w:w="0" w:type="auto"/>
            <w:shd w:val="clear" w:color="auto" w:fill="auto"/>
            <w:vAlign w:val="center"/>
          </w:tcPr>
          <w:p>
            <w:pPr>
              <w:pStyle w:val="Normal(Web)"/>
              <w:divId w:val="167"/>
              <w:jc w:val="center"/>
              <w:rPr>
                <w:vanish w:val="0"/>
              </w:rPr>
            </w:pPr>
            <w:r>
              <w:t xml:space="preserve">15</w:t>
            </w:r>
          </w:p>
        </w:tc>
        <w:tc>
          <w:tcPr>
            <w:tcW w:w="0" w:type="auto"/>
            <w:hMerge w:val="restart"/>
            <w:shd w:val="clear" w:color="auto" w:fill="auto"/>
            <w:vAlign w:val="center"/>
          </w:tcPr>
          <w:p>
            <w:pPr>
              <w:pStyle w:val="Normal(Web)"/>
              <w:divId w:val="168"/>
              <w:rPr>
                <w:vanish w:val="0"/>
              </w:rPr>
            </w:pPr>
            <w:r>
              <w:t xml:space="preserve">Mặt hàng thuốc tham dự thầu bởi nhà thầu có hệ thống phân phối, cung ứng rộng khắp tại các địa bàn miền núi, khó khăn (10): 3 điểm</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169"/>
              <w:rPr>
                <w:vanish w:val="0"/>
              </w:rPr>
            </w:pPr>
            <w:r>
              <w:t xml:space="preserve">15.1. Nhà thầu có hệ thống phân phối, cung ứng rộng khắp trên địa bàn tỉnh (chỉ áp dụng đối với các tỉnh Hà Giang, Cao Bằng, Bắc Kạn, Lào Cai, Yên Bái, Bắc Giang, Phú Thọ, Điện Biên, Lai Châu, Sơn La, Thanh Hoá, Nghệ An, Quảng Bình, Quảng Trị, Quảng Nam, Quảng Ngãi, Bình Định, Ninh Thuận, Kon Tum, Lâm Đồng, Quảng Ninh, Hà Tĩnh, Gia Lai, Phú Yên, Hoà Bình, Tuyên Quang).</w:t>
            </w:r>
          </w:p>
        </w:tc>
        <w:tc>
          <w:tcPr>
            <w:tcW w:w="0" w:type="auto"/>
            <w:shd w:val="clear" w:color="auto" w:fill="auto"/>
            <w:vAlign w:val="center"/>
          </w:tcPr>
          <w:p>
            <w:pPr>
              <w:pStyle w:val="Normal(Web)"/>
              <w:divId w:val="170"/>
              <w:jc w:val="center"/>
              <w:rPr>
                <w:vanish w:val="0"/>
              </w:rPr>
            </w:pPr>
            <w:r>
              <w:t xml:space="preserve">3</w:t>
            </w:r>
          </w:p>
        </w:tc>
      </w:tr>
      <w:tr>
        <w:trPr>
          <w:jc w:val="left"/>
        </w:trPr>
        <w:tc>
          <w:tcPr>
            <w:tcW w:w="0" w:type="auto"/>
            <w:shd w:val="clear" w:color="auto" w:fill="auto"/>
            <w:vAlign w:val="center"/>
          </w:tcPr>
          <w:p>
            <w:pPr>
              <w:pStyle w:val="Normal(Web)"/>
              <w:divId w:val="171"/>
              <w:rPr>
                <w:vanish w:val="0"/>
              </w:rPr>
            </w:pPr>
            <w:r>
              <w:t xml:space="preserve">15.2. Các trường hợp khác.</w:t>
            </w:r>
          </w:p>
        </w:tc>
        <w:tc>
          <w:tcPr>
            <w:tcW w:w="0" w:type="auto"/>
            <w:shd w:val="clear" w:color="auto" w:fill="auto"/>
            <w:vAlign w:val="center"/>
          </w:tcPr>
          <w:p>
            <w:pPr>
              <w:pStyle w:val="Normal(Web)"/>
              <w:divId w:val="172"/>
              <w:jc w:val="center"/>
              <w:rPr>
                <w:vanish w:val="0"/>
              </w:rPr>
            </w:pPr>
            <w:r>
              <w:t xml:space="preserve">2</w:t>
            </w:r>
          </w:p>
        </w:tc>
      </w:tr>
    </w:tbl>
    <w:p>
      <w:pPr>
        <w:pStyle w:val="Normal(Web)"/>
        <w:divId w:val="173"/>
        <w:rPr>
          <w:vanish w:val="0"/>
        </w:rPr>
      </w:pPr>
      <w:r>
        <w:rPr>
          <w:b/>
          <w:i/>
        </w:rPr>
        <w:t xml:space="preserve">Ghi chú:</w:t>
      </w:r>
    </w:p>
    <w:p>
      <w:pPr>
        <w:pStyle w:val="Normal(Web)"/>
        <w:divId w:val="174"/>
        <w:rPr>
          <w:vanish w:val="0"/>
        </w:rPr>
      </w:pPr>
      <w:r>
        <w:t xml:space="preserve">(1), (2): Căn cứ vào thông tin về các thuốc và cơ sở sản xuất thuốc có vi phạm chất lượng do Cục Quản lý Dược ra quyết định thu hồi được công bố trên trang thông tin điện tử của Cục Quản lý Dược (địa chỉ: http://www.dav.gov.vn). Mức độ vi phạm về chất lượng thuốc được quy định tại Khoản 3 Điều 13 Chương IV Thông tư số </w:t>
      </w:r>
      <w:hyperlink r:id="rId7" w:history="1">
        <w:r>
          <w:rPr>
            <w:rStyle w:val="Hyperlink"/>
          </w:rPr>
          <w:t xml:space="preserve">09/2010/TT-BYT </w:t>
        </w:r>
      </w:hyperlink>
      <w:r>
        <w:t xml:space="preserve"> ngày 28 tháng 4 năm 2010 của Bộ Y tế hướng dẫn việc quản lý chất lượng thuốc. </w:t>
      </w:r>
    </w:p>
    <w:p>
      <w:pPr>
        <w:pStyle w:val="Normal(Web)"/>
        <w:divId w:val="175"/>
        <w:rPr>
          <w:vanish w:val="0"/>
        </w:rPr>
      </w:pPr>
      <w:r>
        <w:t xml:space="preserve">(3) “Hạn dùng của thuốc là thời gian sử dụng được ấn định cho một lô thuốc mà sau thời hạn này thuốc không được phép sử dụng” (theo Khoản 21 Điều 2 Luật Dược). Ví dụ: Thuốc ghi trên nhãn: Ngày sản xuất: 11 tháng 02 năm 2006; ngày hết hạn 11 tháng 02 năm 2011, hạn sử dụng (hay tuổi thọ) của thuốc là 5 năm.</w:t>
      </w:r>
    </w:p>
    <w:p>
      <w:pPr>
        <w:pStyle w:val="Normal(Web)"/>
        <w:divId w:val="176"/>
        <w:rPr>
          <w:vanish w:val="0"/>
        </w:rPr>
      </w:pPr>
      <w:r>
        <w:t xml:space="preserve">(4) Căn cứ vào danh sách các thuốc được sản xuất từ nguyên liệu sản xuất tại các nước tham gia ICH, nguyên liệu được cấp Giấy chứng nhận CEP được công bố trên trang thông tin điện tử của Cục Quản lý Dược (địa chỉ: http://www.dav.gov.vn).</w:t>
      </w:r>
    </w:p>
    <w:p>
      <w:pPr>
        <w:pStyle w:val="Normal(Web)"/>
        <w:divId w:val="177"/>
        <w:rPr>
          <w:vanish w:val="0"/>
        </w:rPr>
      </w:pPr>
      <w:r>
        <w:t xml:space="preserve">(5) Căn cứ vào danh sách các thuốc có tài liệu chứng minh tương đương sinh học được công bố trên trang thông tin điện tử của Cục Quản lý Dược (địa chỉ: http://www.dav.gov.vn) và quy định tại Thông tư số </w:t>
      </w:r>
      <w:hyperlink r:id="rId8" w:history="1">
        <w:r>
          <w:rPr>
            <w:rStyle w:val="Hyperlink"/>
          </w:rPr>
          <w:t xml:space="preserve">08/2010/TT-BYT </w:t>
        </w:r>
      </w:hyperlink>
      <w:r>
        <w:t xml:space="preserve"> ngày 26 tháng 4 năm 2010 của Bộ Y tế hướng dẫn báo cáo số liệu nghiên cứu sinh khả dụng/tương đương sinh học trong đăng ký thuốc.</w:t>
      </w:r>
    </w:p>
    <w:p>
      <w:pPr>
        <w:pStyle w:val="Normal(Web)"/>
        <w:divId w:val="178"/>
        <w:rPr>
          <w:vanish w:val="0"/>
        </w:rPr>
      </w:pPr>
      <w:r>
        <w:t xml:space="preserve">(6) Căn cứ vào tờ khai hàng hoá nhập khẩu của mặt hàng dự thầu.</w:t>
      </w:r>
    </w:p>
    <w:p>
      <w:pPr>
        <w:pStyle w:val="Normal(Web)"/>
        <w:divId w:val="179"/>
        <w:rPr>
          <w:vanish w:val="0"/>
        </w:rPr>
      </w:pPr>
      <w:r>
        <w:t xml:space="preserve">(7) Căn cứ vào thông báo trúng thầu, hợp đồng mua bán thuốc, hóa đơn bán thuốc cho các cơ sở khám bệnh, chữa bệnh mà nhà nhà thầu đang dự thầu hoặc các cơ sở khám bệnh, chữa bệnh khác mà nhà thầu đã cung ứng thuốc.</w:t>
      </w:r>
    </w:p>
    <w:p>
      <w:pPr>
        <w:pStyle w:val="Normal(Web)"/>
        <w:divId w:val="180"/>
        <w:rPr>
          <w:vanish w:val="0"/>
        </w:rPr>
      </w:pPr>
      <w:r>
        <w:t xml:space="preserve">(8) Nhà thầu cần nêu rõ trong Hồ sơ dự thầu việc đáp ứng/không đáp ứng được yêu cầu của chủ đầu tư/đơn vị về điều kiện giao hàng trong Hồ sơ mời thầu (tại Biểu tiến độ cung cấp tại Chương VI và yêu cầu về vận chuyển hàng hóa tại Điều 27 Chương VIII) tại Mẫu hồ sơ mời thầu mua sắm hàng hoá ban hành kèm theo Thông tư số </w:t>
      </w:r>
      <w:hyperlink r:id="rId9" w:history="1">
        <w:r>
          <w:rPr>
            <w:rStyle w:val="Hyperlink"/>
          </w:rPr>
          <w:t xml:space="preserve">05/2010/TT-BKH </w:t>
        </w:r>
      </w:hyperlink>
      <w:r>
        <w:t xml:space="preserve"> .</w:t>
      </w:r>
    </w:p>
    <w:p>
      <w:pPr>
        <w:pStyle w:val="Normal(Web)"/>
        <w:divId w:val="181"/>
        <w:rPr>
          <w:vanish w:val="0"/>
        </w:rPr>
      </w:pPr>
      <w:r>
        <w:t xml:space="preserve">(9) Để đánh giá nội dung này, căn cứ vào việc thực hiện hợp đồng cung ứng thuốc giữa nhà thầu và chủ đầu tư/đơn vị trong trường hợp nhà thầu đã trúng thầu; căn cứ vào thông tin về việc vi phạm trong quá trình đấu thầu, cung ứng thuốc của các nhà thầu tại các cơ sở y tế được công bố trên trang thông tin điện tử của Cục Quản lý Dược (địa chỉ: http://www.dav.gov.vn).</w:t>
      </w:r>
    </w:p>
    <w:p>
      <w:pPr>
        <w:pStyle w:val="Normal(Web)"/>
        <w:divId w:val="182"/>
        <w:rPr>
          <w:vanish w:val="0"/>
        </w:rPr>
      </w:pPr>
      <w:r>
        <w:t xml:space="preserve">(10) Căn cứ vào thực trạng tình hình cung ứng thuốc của từng địa phương, Sở Y tế xác định cụ thể các nhà thầu có hệ thống phân phối đáp ứng việc cung ứng thuốc tại địa bàn, chỉ áp dụng cho các gói thầu của các cơ sở y tế thuộc địa bàn các tỉnh trong danh sách.</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1-2014-tt-byt-cua-bo-y-te---quy-dinh-bang-tieu-chuan-danh-gia-ve-mat-ky-thuat-tai-ho-so-moi-thau-mua-thuoc.aspx" TargetMode="External" /><Relationship Id="rId4" Type="http://schemas.openxmlformats.org/officeDocument/2006/relationships/hyperlink" Target="/nghi-dinh-so-63-2014-nd-cp-huong-dan-luat-dau-thau-ve-lua-chon-nha-thau.aspx" TargetMode="External" /><Relationship Id="rId5" Type="http://schemas.openxmlformats.org/officeDocument/2006/relationships/hyperlink" Target="/nghi-dinh-63-2012-nd-cp-cua-chinh-phu-ve-viec-quy-dinh-chuc-nang-nhiem-vu-quyen-han-va-co-cau-to-chuc-cua-bo-y-te.aspx" TargetMode="External" /><Relationship Id="rId6" Type="http://schemas.openxmlformats.org/officeDocument/2006/relationships/hyperlink" Target="/thong-tu-37-2013-tt-byt-huong-dan-viec-lap-ho-so-moi-thau-mua-thuoc-trong-co-so-y-te.aspx" TargetMode="External" /><Relationship Id="rId7" Type="http://schemas.openxmlformats.org/officeDocument/2006/relationships/hyperlink" Target="/thong-tu-so-09-2010-tt-byt-cua-bo-y-te---huong-dan-viec-quan-ly-chat-luong-thuoc.aspx" TargetMode="External" /><Relationship Id="rId8" Type="http://schemas.openxmlformats.org/officeDocument/2006/relationships/hyperlink" Target="/thong-tu-so-08-2010-tt-byt-cua-bo-y-te---huong-dan-bao-cao-so-lieu-nghien-cuu-sinh-kha-dung--tuong-duong-sinh-hoc-trong-dang-ky-thuoc-.aspx" TargetMode="External" /><Relationship Id="rId9" Type="http://schemas.openxmlformats.org/officeDocument/2006/relationships/hyperlink" Target="/thong-tu-05-2010-tt-bkh-cua-bo-ke-hoach-va-dau-tu-quy-dinh-chi-tiet-lap-ho-so-moi-thau-mua-sam-hang-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2022-06-21T17:06:03Z</dcterms:created>
  <dcterms:modified xsi:type="dcterms:W3CDTF">2022-06-21T17:06:03Z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2022-06-21T17:06:03Z</dcterms:created>
  <dcterms:modified xsi:type="dcterms:W3CDTF">2022-06-21T17:06:03Z</dcterms:modified>
</cp:coreProperties>
</file>