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B1" w:rsidRPr="000749B1" w:rsidRDefault="000749B1" w:rsidP="000749B1">
      <w:pPr>
        <w:pStyle w:val="NormalWeb"/>
        <w:spacing w:after="90" w:afterAutospacing="0" w:line="345" w:lineRule="atLeast"/>
        <w:jc w:val="both"/>
        <w:rPr>
          <w:rFonts w:ascii="Arial" w:hAnsi="Arial" w:cs="Arial"/>
          <w:color w:val="333333"/>
          <w:sz w:val="26"/>
          <w:szCs w:val="26"/>
        </w:rPr>
      </w:pPr>
      <w:bookmarkStart w:id="0" w:name="_GoBack"/>
      <w:bookmarkEnd w:id="0"/>
      <w:r w:rsidRPr="000749B1">
        <w:rPr>
          <w:rStyle w:val="Strong"/>
          <w:rFonts w:ascii="Arial" w:hAnsi="Arial" w:cs="Arial"/>
          <w:color w:val="333333"/>
          <w:sz w:val="26"/>
          <w:szCs w:val="26"/>
        </w:rPr>
        <w:t>BỘ TÀI CHÍNH       </w:t>
      </w:r>
      <w:r w:rsidRPr="000749B1">
        <w:rPr>
          <w:rFonts w:ascii="Arial" w:hAnsi="Arial" w:cs="Arial"/>
          <w:color w:val="333333"/>
          <w:sz w:val="26"/>
          <w:szCs w:val="26"/>
        </w:rPr>
        <w:t>                        </w:t>
      </w:r>
      <w:r w:rsidRPr="000749B1">
        <w:rPr>
          <w:rStyle w:val="Strong"/>
          <w:rFonts w:ascii="Arial" w:hAnsi="Arial" w:cs="Arial"/>
          <w:color w:val="333333"/>
          <w:sz w:val="26"/>
          <w:szCs w:val="26"/>
        </w:rPr>
        <w:t>CỘNG HOÀ XÃ HỘI CHỦ NGHĨA VIỆT NAM</w:t>
      </w:r>
    </w:p>
    <w:p w:rsidR="000749B1" w:rsidRPr="000749B1" w:rsidRDefault="000749B1" w:rsidP="000749B1">
      <w:pPr>
        <w:pStyle w:val="NormalWeb"/>
        <w:spacing w:after="90" w:afterAutospacing="0" w:line="345" w:lineRule="atLeast"/>
        <w:rPr>
          <w:rFonts w:ascii="Arial" w:hAnsi="Arial" w:cs="Arial"/>
          <w:color w:val="333333"/>
          <w:sz w:val="26"/>
          <w:szCs w:val="26"/>
        </w:rPr>
      </w:pPr>
      <w:r w:rsidRPr="000749B1">
        <w:rPr>
          <w:rStyle w:val="Strong"/>
          <w:rFonts w:ascii="Arial" w:hAnsi="Arial" w:cs="Arial"/>
          <w:color w:val="333333"/>
          <w:sz w:val="26"/>
          <w:szCs w:val="26"/>
        </w:rPr>
        <w:t>                                                                   Độc lập- Tự do- Hạnh phúc</w:t>
      </w: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Số: 173/2016/TT-BTC                                                                    Hà Nội, ngày 28 tháng 10 năm 2016</w:t>
      </w: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jc w:val="center"/>
        <w:rPr>
          <w:rFonts w:ascii="Arial" w:eastAsia="Times New Roman" w:hAnsi="Arial" w:cs="Arial"/>
          <w:color w:val="333333"/>
          <w:sz w:val="26"/>
          <w:szCs w:val="26"/>
        </w:rPr>
      </w:pPr>
    </w:p>
    <w:p w:rsidR="000749B1" w:rsidRPr="000749B1" w:rsidRDefault="000749B1" w:rsidP="000749B1">
      <w:pPr>
        <w:jc w:val="center"/>
        <w:rPr>
          <w:rFonts w:ascii="Arial" w:eastAsia="Times New Roman" w:hAnsi="Arial" w:cs="Arial"/>
          <w:color w:val="333333"/>
          <w:sz w:val="26"/>
          <w:szCs w:val="26"/>
        </w:rPr>
      </w:pPr>
      <w:r w:rsidRPr="000749B1">
        <w:rPr>
          <w:rStyle w:val="Strong"/>
          <w:rFonts w:ascii="Arial" w:eastAsia="Times New Roman" w:hAnsi="Arial" w:cs="Arial"/>
          <w:color w:val="333333"/>
          <w:sz w:val="26"/>
          <w:szCs w:val="26"/>
        </w:rPr>
        <w:t>THÔNG TƯ</w:t>
      </w:r>
    </w:p>
    <w:p w:rsidR="000749B1" w:rsidRPr="000749B1" w:rsidRDefault="000749B1" w:rsidP="000749B1">
      <w:pPr>
        <w:rPr>
          <w:rFonts w:ascii="Arial" w:eastAsia="Times New Roman" w:hAnsi="Arial" w:cs="Arial"/>
          <w:color w:val="333333"/>
          <w:sz w:val="26"/>
          <w:szCs w:val="26"/>
        </w:rPr>
      </w:pPr>
      <w:r w:rsidRPr="000749B1">
        <w:rPr>
          <w:rStyle w:val="Strong"/>
          <w:rFonts w:ascii="Arial" w:eastAsia="Times New Roman" w:hAnsi="Arial" w:cs="Arial"/>
          <w:color w:val="333333"/>
          <w:sz w:val="26"/>
          <w:szCs w:val="26"/>
        </w:rPr>
        <w:t>SỬA ĐỔI, BỔ SUNG KHỔ THỨ NHẤT KHOẢN 3 ĐIỀU 15 THÔNG TƯ SỐ 219/2013/TT-BTC NGÀY 31/12/2013 CỦA BỘ TÀI CHÍNH (ĐÃ ĐƯỢC SỬA ĐỔI, BỔ SUNG THEO THÔNG TƯ SỐ 119/2014/TT-BTC NGÀY 25/8/2014, THÔNG TƯ SỐ 151/2014/TT-BTC NGÀY 10/10/2014, THÔNG TƯ SỐ 26/2015/TT-BTC NGÀY 27/02/2015 CỦA BỘ TÀI CHÍNH)</w:t>
      </w: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t>Căn cứ </w:t>
      </w:r>
      <w:hyperlink r:id="rId8" w:history="1">
        <w:r w:rsidRPr="000749B1">
          <w:rPr>
            <w:rStyle w:val="Hyperlink"/>
            <w:rFonts w:ascii="Arial" w:eastAsia="Times New Roman" w:hAnsi="Arial" w:cs="Arial"/>
            <w:i/>
            <w:iCs/>
            <w:color w:val="0782C1"/>
            <w:sz w:val="26"/>
            <w:szCs w:val="26"/>
          </w:rPr>
          <w:t>Luật Quản lý thuế số 78/2006/QH11</w:t>
        </w:r>
      </w:hyperlink>
      <w:r w:rsidRPr="000749B1">
        <w:rPr>
          <w:rStyle w:val="Emphasis"/>
          <w:rFonts w:ascii="Arial" w:eastAsia="Times New Roman" w:hAnsi="Arial" w:cs="Arial"/>
          <w:color w:val="333333"/>
          <w:sz w:val="26"/>
          <w:szCs w:val="26"/>
        </w:rPr>
        <w:t> và Luật số 21/2012/QH13 sửa đổi, bổ sung một số điều của Luật Quản lý thuế;</w:t>
      </w: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t>Căn cứ </w:t>
      </w:r>
      <w:hyperlink r:id="rId9" w:history="1">
        <w:r w:rsidRPr="000749B1">
          <w:rPr>
            <w:rStyle w:val="Hyperlink"/>
            <w:rFonts w:ascii="Arial" w:eastAsia="Times New Roman" w:hAnsi="Arial" w:cs="Arial"/>
            <w:i/>
            <w:iCs/>
            <w:color w:val="0782C1"/>
            <w:sz w:val="26"/>
            <w:szCs w:val="26"/>
          </w:rPr>
          <w:t>Luật thuế giá trị gia tăng số 13/2008/QH12</w:t>
        </w:r>
      </w:hyperlink>
      <w:r w:rsidRPr="000749B1">
        <w:rPr>
          <w:rStyle w:val="Emphasis"/>
          <w:rFonts w:ascii="Arial" w:eastAsia="Times New Roman" w:hAnsi="Arial" w:cs="Arial"/>
          <w:color w:val="333333"/>
          <w:sz w:val="26"/>
          <w:szCs w:val="26"/>
        </w:rPr>
        <w:t> và Luật số 31/2013/QH13 sửa đổi, bổ sung một số điều của Luật thuế giá trị gia tăng; Luật số 71/2014/QH13 sửa đổi, bổ sung một số điều của các Luật về thuế;</w:t>
      </w: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t>Căn cứ </w:t>
      </w:r>
      <w:hyperlink r:id="rId10" w:history="1">
        <w:r w:rsidRPr="000749B1">
          <w:rPr>
            <w:rStyle w:val="Hyperlink"/>
            <w:rFonts w:ascii="Arial" w:eastAsia="Times New Roman" w:hAnsi="Arial" w:cs="Arial"/>
            <w:i/>
            <w:iCs/>
            <w:color w:val="0782C1"/>
            <w:sz w:val="26"/>
            <w:szCs w:val="26"/>
          </w:rPr>
          <w:t>Nghị định số 209/2013/NĐ-CP</w:t>
        </w:r>
      </w:hyperlink>
      <w:r w:rsidRPr="000749B1">
        <w:rPr>
          <w:rStyle w:val="Emphasis"/>
          <w:rFonts w:ascii="Arial" w:eastAsia="Times New Roman" w:hAnsi="Arial" w:cs="Arial"/>
          <w:color w:val="333333"/>
          <w:sz w:val="26"/>
          <w:szCs w:val="26"/>
        </w:rPr>
        <w:t> ngày 18 tháng 12 năm 2013 của Chính phủ quy định chi tiết và hướng dẫn thi hành một số điều Luật thuế giá trị gia tăng;Nghị định số 91/2014/NĐ-CP ngày 01 tháng 10 năm 2014 của Chính phủ về việc sửa đổi, bổ sung một số điều tại các Nghị định quy định về thuế;</w:t>
      </w: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t>Căn cứ Nghị định số 83/2013/NĐ-CP ngày 22/7/2013 của Chính phủ quy định chi tiết thi hành một số điều của Luật Quản lý thuế và Luật Sửa đổi, bổ sung một số điều của Luật Quản lý thuế;</w:t>
      </w: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t>Căn cứ </w:t>
      </w:r>
      <w:hyperlink r:id="rId11" w:history="1">
        <w:r w:rsidRPr="000749B1">
          <w:rPr>
            <w:rStyle w:val="Hyperlink"/>
            <w:rFonts w:ascii="Arial" w:eastAsia="Times New Roman" w:hAnsi="Arial" w:cs="Arial"/>
            <w:i/>
            <w:iCs/>
            <w:color w:val="0782C1"/>
            <w:sz w:val="26"/>
            <w:szCs w:val="26"/>
          </w:rPr>
          <w:t>Nghị định số 12/2015/NĐ-CP</w:t>
        </w:r>
      </w:hyperlink>
      <w:r w:rsidRPr="000749B1">
        <w:rPr>
          <w:rStyle w:val="Emphasis"/>
          <w:rFonts w:ascii="Arial" w:eastAsia="Times New Roman" w:hAnsi="Arial" w:cs="Arial"/>
          <w:color w:val="333333"/>
          <w:sz w:val="26"/>
          <w:szCs w:val="26"/>
        </w:rPr>
        <w:t> ngày 12/2/2015 của Chính phủ quy định chi tiết thi hành Luật sửa đổi, bổ sung một số điều của các Luật về thuế và sửa đổi, bổ sung một số điều của các Nghị định về thuế;</w:t>
      </w: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lastRenderedPageBreak/>
        <w:t>Căn cứ </w:t>
      </w:r>
      <w:hyperlink r:id="rId12" w:history="1">
        <w:r w:rsidRPr="000749B1">
          <w:rPr>
            <w:rStyle w:val="Hyperlink"/>
            <w:rFonts w:ascii="Arial" w:eastAsia="Times New Roman" w:hAnsi="Arial" w:cs="Arial"/>
            <w:i/>
            <w:iCs/>
            <w:color w:val="0782C1"/>
            <w:sz w:val="26"/>
            <w:szCs w:val="26"/>
          </w:rPr>
          <w:t>Nghị định số 215/2013/NĐ-CP</w:t>
        </w:r>
      </w:hyperlink>
      <w:r w:rsidRPr="000749B1">
        <w:rPr>
          <w:rStyle w:val="Emphasis"/>
          <w:rFonts w:ascii="Arial" w:eastAsia="Times New Roman" w:hAnsi="Arial" w:cs="Arial"/>
          <w:color w:val="333333"/>
          <w:sz w:val="26"/>
          <w:szCs w:val="26"/>
        </w:rPr>
        <w:t> ngày 23 tháng 12 năm 2013 của Chính phủ quy định chức năng, nhiệm vụ, quyền hạn và cơ cấu tổ chức của Bộ Tài chính;</w:t>
      </w:r>
    </w:p>
    <w:p w:rsidR="000749B1" w:rsidRPr="000749B1" w:rsidRDefault="000749B1" w:rsidP="000749B1">
      <w:pPr>
        <w:rPr>
          <w:rFonts w:ascii="Arial" w:eastAsia="Times New Roman" w:hAnsi="Arial" w:cs="Arial"/>
          <w:color w:val="333333"/>
          <w:sz w:val="26"/>
          <w:szCs w:val="26"/>
        </w:rPr>
      </w:pPr>
      <w:r w:rsidRPr="000749B1">
        <w:rPr>
          <w:rStyle w:val="Emphasis"/>
          <w:rFonts w:ascii="Arial" w:eastAsia="Times New Roman" w:hAnsi="Arial" w:cs="Arial"/>
          <w:color w:val="333333"/>
          <w:sz w:val="26"/>
          <w:szCs w:val="26"/>
        </w:rPr>
        <w:t>Theo đề nghị của Tổng cục trưởng Tổng cục Thuế,</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Bộ trưởng Bộ Tài chính ban hành Thông tư sửa đổi, bổ sung một số điều tại các Thông tư hướng dẫn về thuế giá trị gia tăng như sau:</w:t>
      </w: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r w:rsidRPr="000749B1">
        <w:rPr>
          <w:rStyle w:val="Strong"/>
          <w:rFonts w:ascii="Arial" w:eastAsia="Times New Roman" w:hAnsi="Arial" w:cs="Arial"/>
          <w:color w:val="333333"/>
          <w:sz w:val="26"/>
          <w:szCs w:val="26"/>
        </w:rPr>
        <w:t>Điều 1.</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Sửa đổi, bổ sung khổ thứ nhất khoản 3 Điều 15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(đã được sửa đổi, bổ sung theo Thông tư số 119/2014/TT-BTC ngày 25/8/2014, Thông tư số 151/2014/TT-BTC ngày 10/10/2014, Thông tư số 26/2015/TT-BTC ngày 27/02/2015 của Bộ Tài chính) như sau:</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rsidR="000749B1" w:rsidRPr="000749B1" w:rsidRDefault="000749B1" w:rsidP="000749B1">
      <w:pPr>
        <w:rPr>
          <w:rFonts w:ascii="Arial" w:eastAsia="Times New Roman" w:hAnsi="Arial" w:cs="Arial"/>
          <w:color w:val="333333"/>
          <w:sz w:val="26"/>
          <w:szCs w:val="26"/>
        </w:rPr>
      </w:pPr>
      <w:r w:rsidRPr="000749B1">
        <w:rPr>
          <w:rStyle w:val="Strong"/>
          <w:rFonts w:ascii="Arial" w:eastAsia="Times New Roman" w:hAnsi="Arial" w:cs="Arial"/>
          <w:color w:val="333333"/>
          <w:sz w:val="26"/>
          <w:szCs w:val="26"/>
        </w:rPr>
        <w:t>Điều 2.</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Thông tư này có hiệu lực thi hành kể từ ngày 15 tháng 12 năm 2016.</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Trong quá trình thực hiện nếu có vướng mắc, đề nghị các tổ chức, cá nhân phản ánh kịp thời về Bộ Tài chính để nghiên cứu giải quyết./.</w:t>
      </w: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lastRenderedPageBreak/>
        <w:t>Nơi nhận:</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Văn phòng Trung ương và các Ban của Đảng;</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Văn phòng Quốc hội;</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Văn phòng Chủ tịch nước;</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Văn phòng Tổng Bí thư;</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Viện Kiểm sát nhân dân tối cao;</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Tòa án nhân dân tối cao;</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Kiểm toán nhà nước;</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Các Bộ, cơ quan ngang Bộ, cơ quan thuộc Chính phủ,</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Cơ quan Trung ương của các đoàn thể;</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Hội đồng nhân dân, Ủy ban nhân dân, ở Tài chính, Cục Thuế, Kho bạc nhà nước các tỉnh, thành phố trực thuộc Trung ương;</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Công báo;</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Cục Kiểm tra văn bản (Bộ Tư pháp);</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Website Chính phủ;</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Website Bộ Tài chính; Website Tổng cục Thuế;</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Các đơn vị thuộc Bộ Tài chính;</w:t>
      </w: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 Lưu: VT, TCT (VT, CS). KT. BỘ TRƯỞNG</w:t>
      </w:r>
    </w:p>
    <w:p w:rsidR="000749B1" w:rsidRPr="000749B1" w:rsidRDefault="000749B1" w:rsidP="000749B1">
      <w:pPr>
        <w:rPr>
          <w:rFonts w:ascii="Arial" w:eastAsia="Times New Roman" w:hAnsi="Arial" w:cs="Arial"/>
          <w:color w:val="333333"/>
          <w:sz w:val="26"/>
          <w:szCs w:val="26"/>
        </w:rPr>
      </w:pPr>
      <w:r w:rsidRPr="000749B1">
        <w:rPr>
          <w:rStyle w:val="Strong"/>
          <w:rFonts w:ascii="Arial" w:eastAsia="Times New Roman" w:hAnsi="Arial" w:cs="Arial"/>
          <w:color w:val="333333"/>
          <w:sz w:val="26"/>
          <w:szCs w:val="26"/>
        </w:rPr>
        <w:t>THỨ TRƯỞNG</w:t>
      </w: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p>
    <w:p w:rsidR="000749B1" w:rsidRPr="000749B1" w:rsidRDefault="000749B1" w:rsidP="000749B1">
      <w:pPr>
        <w:rPr>
          <w:rFonts w:ascii="Arial" w:eastAsia="Times New Roman" w:hAnsi="Arial" w:cs="Arial"/>
          <w:color w:val="333333"/>
          <w:sz w:val="26"/>
          <w:szCs w:val="26"/>
        </w:rPr>
      </w:pPr>
      <w:r w:rsidRPr="000749B1">
        <w:rPr>
          <w:rFonts w:ascii="Arial" w:eastAsia="Times New Roman" w:hAnsi="Arial" w:cs="Arial"/>
          <w:color w:val="333333"/>
          <w:sz w:val="26"/>
          <w:szCs w:val="26"/>
        </w:rPr>
        <w:t>Đỗ Hoàng Anh Tuấn</w:t>
      </w:r>
    </w:p>
    <w:p w:rsidR="00266947" w:rsidRPr="000749B1" w:rsidRDefault="00266947" w:rsidP="000749B1">
      <w:pPr>
        <w:rPr>
          <w:sz w:val="26"/>
          <w:szCs w:val="26"/>
        </w:rPr>
      </w:pPr>
    </w:p>
    <w:sectPr w:rsidR="00266947" w:rsidRPr="000749B1"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98" w:rsidRDefault="00197198" w:rsidP="007446EA">
      <w:pPr>
        <w:spacing w:after="0" w:line="240" w:lineRule="auto"/>
      </w:pPr>
      <w:r>
        <w:separator/>
      </w:r>
    </w:p>
  </w:endnote>
  <w:endnote w:type="continuationSeparator" w:id="0">
    <w:p w:rsidR="00197198" w:rsidRDefault="0019719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67" w:rsidRDefault="009F6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A2D41" w:rsidRDefault="001A2D41" w:rsidP="001A2D4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67" w:rsidRDefault="009F6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98" w:rsidRDefault="00197198" w:rsidP="007446EA">
      <w:pPr>
        <w:spacing w:after="0" w:line="240" w:lineRule="auto"/>
      </w:pPr>
      <w:r>
        <w:separator/>
      </w:r>
    </w:p>
  </w:footnote>
  <w:footnote w:type="continuationSeparator" w:id="0">
    <w:p w:rsidR="00197198" w:rsidRDefault="0019719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67" w:rsidRDefault="009F6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A2D41" w:rsidRDefault="001A2D41" w:rsidP="001A2D4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67" w:rsidRDefault="009F6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3A72"/>
    <w:rsid w:val="00016233"/>
    <w:rsid w:val="000170AA"/>
    <w:rsid w:val="000211AB"/>
    <w:rsid w:val="0003316C"/>
    <w:rsid w:val="00070992"/>
    <w:rsid w:val="000749B1"/>
    <w:rsid w:val="0008367D"/>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67BEB"/>
    <w:rsid w:val="00176763"/>
    <w:rsid w:val="00197198"/>
    <w:rsid w:val="001A023C"/>
    <w:rsid w:val="001A2BB2"/>
    <w:rsid w:val="001A2D41"/>
    <w:rsid w:val="001C1A29"/>
    <w:rsid w:val="001C5342"/>
    <w:rsid w:val="001C5C96"/>
    <w:rsid w:val="001D2B43"/>
    <w:rsid w:val="001D44AA"/>
    <w:rsid w:val="001F0660"/>
    <w:rsid w:val="002050C7"/>
    <w:rsid w:val="0021062D"/>
    <w:rsid w:val="0021249F"/>
    <w:rsid w:val="00213087"/>
    <w:rsid w:val="002158D7"/>
    <w:rsid w:val="00216529"/>
    <w:rsid w:val="00226136"/>
    <w:rsid w:val="002437F5"/>
    <w:rsid w:val="00256087"/>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6B7C"/>
    <w:rsid w:val="004D31FF"/>
    <w:rsid w:val="004D4148"/>
    <w:rsid w:val="004D6025"/>
    <w:rsid w:val="004E6574"/>
    <w:rsid w:val="004F7FE9"/>
    <w:rsid w:val="00542C5E"/>
    <w:rsid w:val="005730FA"/>
    <w:rsid w:val="00574B76"/>
    <w:rsid w:val="00590C46"/>
    <w:rsid w:val="005A2EB8"/>
    <w:rsid w:val="006144E1"/>
    <w:rsid w:val="00621297"/>
    <w:rsid w:val="00624067"/>
    <w:rsid w:val="00635B52"/>
    <w:rsid w:val="00640271"/>
    <w:rsid w:val="006430D5"/>
    <w:rsid w:val="00644360"/>
    <w:rsid w:val="00647B4B"/>
    <w:rsid w:val="00675E27"/>
    <w:rsid w:val="00682554"/>
    <w:rsid w:val="006975D9"/>
    <w:rsid w:val="006A6FE0"/>
    <w:rsid w:val="006A7527"/>
    <w:rsid w:val="006B3FCD"/>
    <w:rsid w:val="006E130D"/>
    <w:rsid w:val="006E27F5"/>
    <w:rsid w:val="006E4EF2"/>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B275F"/>
    <w:rsid w:val="007C0EF4"/>
    <w:rsid w:val="007D0032"/>
    <w:rsid w:val="007D58D7"/>
    <w:rsid w:val="0081472B"/>
    <w:rsid w:val="00831FB4"/>
    <w:rsid w:val="008323AF"/>
    <w:rsid w:val="00840C95"/>
    <w:rsid w:val="0084368F"/>
    <w:rsid w:val="00843ABF"/>
    <w:rsid w:val="008744ED"/>
    <w:rsid w:val="0087635F"/>
    <w:rsid w:val="00876FD6"/>
    <w:rsid w:val="008950F4"/>
    <w:rsid w:val="008B09DD"/>
    <w:rsid w:val="008C6DE0"/>
    <w:rsid w:val="008D6F0B"/>
    <w:rsid w:val="008F5B5A"/>
    <w:rsid w:val="00904222"/>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D7EB6"/>
    <w:rsid w:val="009E2671"/>
    <w:rsid w:val="009F6167"/>
    <w:rsid w:val="00A14CA8"/>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29B9"/>
    <w:rsid w:val="00B4740A"/>
    <w:rsid w:val="00B73F2C"/>
    <w:rsid w:val="00B75E6C"/>
    <w:rsid w:val="00B80359"/>
    <w:rsid w:val="00B83A02"/>
    <w:rsid w:val="00BC240B"/>
    <w:rsid w:val="00BC5FB2"/>
    <w:rsid w:val="00BF2F30"/>
    <w:rsid w:val="00C244B2"/>
    <w:rsid w:val="00C25B1C"/>
    <w:rsid w:val="00C478D9"/>
    <w:rsid w:val="00C502AE"/>
    <w:rsid w:val="00C51298"/>
    <w:rsid w:val="00C8419B"/>
    <w:rsid w:val="00CA573C"/>
    <w:rsid w:val="00CC2E2B"/>
    <w:rsid w:val="00D219C3"/>
    <w:rsid w:val="00D226BC"/>
    <w:rsid w:val="00D26D8B"/>
    <w:rsid w:val="00D95898"/>
    <w:rsid w:val="00DA14C6"/>
    <w:rsid w:val="00DA2E98"/>
    <w:rsid w:val="00DC05B1"/>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A5CDA"/>
    <w:rsid w:val="00EC2D51"/>
    <w:rsid w:val="00F17699"/>
    <w:rsid w:val="00F2307B"/>
    <w:rsid w:val="00F27B05"/>
    <w:rsid w:val="00F30C3C"/>
    <w:rsid w:val="00F32198"/>
    <w:rsid w:val="00F46092"/>
    <w:rsid w:val="00F65A9E"/>
    <w:rsid w:val="00F833BC"/>
    <w:rsid w:val="00F91DE6"/>
    <w:rsid w:val="00F95039"/>
    <w:rsid w:val="00F95C26"/>
    <w:rsid w:val="00FA5938"/>
    <w:rsid w:val="00FB09CC"/>
    <w:rsid w:val="00FB2470"/>
    <w:rsid w:val="00FB6051"/>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quan-ly-thue-so-78-2006-qh11.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5151/nghi-dinh-so-215-2013-nd-cp-cua-chinh-phu-quy-dinh-chuc-nang-nhiem-vu-quyen-han-va-co-cau-to-chuc-cua-bo-tai-chinh.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nghi-dinh/nghi-dinh-12-2015-nd-cp.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uatminhkhue.vn/nghi-dinh/nghi-dinh-so-209-2013-nd-cp-quy-dinh-chi-tiet-va-huong-dan-thi-hanh-mot-so-dieu-luat-thue-gia-tri-gia-tang-.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atminhkhue.vn/luat/luat-thue-gia-tri-gia-tang-so-13-2008-qh12.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118</cp:revision>
  <dcterms:created xsi:type="dcterms:W3CDTF">2015-09-25T00:33:00Z</dcterms:created>
  <dcterms:modified xsi:type="dcterms:W3CDTF">2020-05-18T03:22:00Z</dcterms:modified>
</cp:coreProperties>
</file>