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p>
          <w:p>
            <w:pPr>
              <w:pStyle w:val="Normal(Web)"/>
              <w:divId w:val="2"/>
              <w:jc w:val="center"/>
              <w:rPr>
                <w:vanish w:val="0"/>
              </w:rPr>
            </w:pPr>
            <w:r>
              <w:t xml:space="preserve">Số: </w:t>
            </w:r>
            <w:hyperlink r:id="rId3" w:history="1">
              <w:r>
                <w:rPr>
                  <w:rStyle w:val="Hyperlink"/>
                </w:rPr>
                <w:t xml:space="preserve">12/2010/TT-BGTVT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21 tháng 4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hành Quy chuẩn kỹ thuật Quốc gia “Quy phạm phân cấp và đóng tàu biển vỏ thép”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Tiêu chuẩn và Quy chuẩn kỹ thuật ngày 29/6/2006;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Ban hành văn bản quy phạm pháp luật ngày 03/6/2008;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4" w:history="1">
        <w:r>
          <w:rPr>
            <w:rStyle w:val="Hyperlink"/>
          </w:rPr>
          <w:t xml:space="preserve">127/2007/NĐ-CP </w:t>
        </w:r>
      </w:hyperlink>
      <w:r>
        <w:t xml:space="preserve"> ngày 01/8/2007 của Chính phủ quy định chi tiết thi hành một số điều của Luật Tiêu chuẩn và Quy chuẩn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5" w:history="1">
        <w:r>
          <w:rPr>
            <w:rStyle w:val="Hyperlink"/>
          </w:rPr>
          <w:t xml:space="preserve">24/2009/NĐ-CP </w:t>
        </w:r>
      </w:hyperlink>
      <w:r>
        <w:t xml:space="preserve"> ngày 05/3/2009 của Chính phủ quy định chi tiết và biện pháp thi hành Luật Ban hành văn bản quy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6" w:history="1">
        <w:r>
          <w:rPr>
            <w:rStyle w:val="Hyperlink"/>
          </w:rPr>
          <w:t xml:space="preserve">51/2008/NĐ-CP </w:t>
        </w:r>
      </w:hyperlink>
      <w:r>
        <w:t xml:space="preserve"> ngày 22/4/2008 của Chính phủ quy định chức năng, nhiệm vụ, quyền hạn và cơ cấu tổ chức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Giao thông vận tải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Ban hành kèm theo Thông tư này Quy chuẩn kỹ thuật quốc gia “Quy phạm phân cấp và đóng tàu biển vỏ thép”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Mã số đăng ký: QCVN 21: 2010/BGTVT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w:t>
      </w:r>
      <w:r>
        <w:t xml:space="preserve">Thông tư này có hiệu lực thi hành sau 6 tháng, kể từ ngày ký ban hành. Đối với các tàu đã ký hợp đồng đóng mới trước ngày Thông tư này có hiệu lực thì vẫn áp dụng theo các Tiêu chuẩn Việt Nam TCVN 6259-01:2003 đến TCVN 6259-12:2003 về Quy phạm phân cấp và đóng tàu biểu vỏ thép.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w:t>
      </w:r>
      <w:r>
        <w:t xml:space="preserve">Chánh văn phòng Bộ, Chánh thanh tra Bộ, Vụ trưởng các Vụ, Cục trưởng Cục Đăng kiểm Việt Nam, thủ trưởng các cơ quan đơn vị thuộc Bộ Giao thông vận tải, các tổ chức và cá nhân có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Nghĩa Dũng</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2-2010-tt-bgtvt.aspx" TargetMode="External" /><Relationship Id="rId4" Type="http://schemas.openxmlformats.org/officeDocument/2006/relationships/hyperlink" Target="/nghi-dinh-so-127-2007-nd-cp-cua-chinh-phu---quy-dinh-chi-tiet-thi-hanh-mot-so-dieu-cua-luat-tieu-chuan-va-quy-chuan-ky-thuat.aspx" TargetMode="External" /><Relationship Id="rId5" Type="http://schemas.openxmlformats.org/officeDocument/2006/relationships/hyperlink" Target="/nghi-dinh-so-24-2009-nd-cp-cua-chinh-phu---quy-dinh-chi-tiet-va-bien-phap-thi-hanh-luat-ban-hanh-van-ban-quy-pham-phap-luat.aspx" TargetMode="External" /><Relationship Id="rId6" Type="http://schemas.openxmlformats.org/officeDocument/2006/relationships/hyperlink" Target="/nghi-dinh-so-51-2008-nd-cp-cua-chinh-phu---quy-dinh-chuc-nang--nhiem-vu--quyen-han-va-co-cau-to-chuc-cua-bo-giao-thong-van-tai.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2022-06-21T17:31:56Z</dcterms:created>
  <dcterms:modified xsi:type="dcterms:W3CDTF">2022-06-21T17:31:56Z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2022-06-21T17:31:56Z</dcterms:created>
  <dcterms:modified xsi:type="dcterms:W3CDTF">2022-06-21T17:31:56Z</dcterms:modified>
</cp:coreProperties>
</file>