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w:t>
            </w:r>
          </w:p>
          <w:p>
            <w:pPr>
              <w:pStyle w:val="Normal(Web)"/>
              <w:divId w:val="3"/>
              <w:jc w:val="center"/>
              <w:rPr>
                <w:vanish w:val="0"/>
              </w:rPr>
            </w:pPr>
            <w:r>
              <w:t xml:space="preserve">Số: </w:t>
            </w:r>
            <w:hyperlink r:id="rId3" w:history="1">
              <w:r>
                <w:rPr>
                  <w:rStyle w:val="Hyperlink"/>
                </w:rPr>
                <w:t xml:space="preserve">19/2011/TT-BGDĐT </w:t>
              </w:r>
            </w:hyperlink>
            <w:r>
              <w:t xml:space="preserve">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t xml:space="preserve">---------------------------</w:t>
            </w:r>
          </w:p>
          <w:p>
            <w:pPr>
              <w:pStyle w:val="Normal(Web)"/>
              <w:divId w:val="7"/>
              <w:jc w:val="center"/>
              <w:rPr>
                <w:vanish w:val="0"/>
              </w:rPr>
            </w:pPr>
            <w:r>
              <w:rPr>
                <w:i/>
              </w:rPr>
              <w:t xml:space="preserve">Hà Nội, ngày 24 tháng 5 năm 2011</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BAN HÀNH MẪU BẰNG TỐT NGHIỆP ĐẠI HỌC</w:t>
      </w:r>
    </w:p>
    <w:p>
      <w:pPr>
        <w:pStyle w:val="Normal(Web)"/>
        <w:divId w:val="10"/>
        <w:jc w:val="center"/>
        <w:rPr>
          <w:vanish w:val="0"/>
        </w:rPr>
      </w:pPr>
      <w:r>
        <w:rPr>
          <w:b/>
        </w:rPr>
        <w:t xml:space="preserve">---------------------------------</w:t>
      </w:r>
    </w:p>
    <w:p>
      <w:pPr>
        <w:pStyle w:val="Normal(Web)"/>
        <w:divId w:val="11"/>
        <w:rPr>
          <w:vanish w:val="0"/>
        </w:rPr>
      </w:pPr>
      <w:r>
        <w:t xml:space="preserve">Căn cứ Nghị định số </w:t>
      </w:r>
      <w:hyperlink r:id="rId4" w:history="1">
        <w:r>
          <w:rPr>
            <w:rStyle w:val="Hyperlink"/>
          </w:rPr>
          <w:t xml:space="preserve">178/2007/NĐ-CP </w:t>
        </w:r>
      </w:hyperlink>
      <w:r>
        <w:t xml:space="preserve"> ngày 03 tháng 12 năm 2007 của Chính phủ quy định chức năng, nhiệm vụ, quyền hạn và cơ cấu tổ chức của bộ, cơ quan ngang bộ;</w:t>
      </w:r>
    </w:p>
    <w:p>
      <w:pPr>
        <w:pStyle w:val="Normal(Web)"/>
        <w:divId w:val="12"/>
        <w:rPr>
          <w:vanish w:val="0"/>
        </w:rPr>
      </w:pPr>
      <w:r>
        <w:t xml:space="preserve">Căn cứ Nghị định số </w:t>
      </w:r>
      <w:hyperlink r:id="rId5" w:history="1">
        <w:r>
          <w:rPr>
            <w:rStyle w:val="Hyperlink"/>
          </w:rPr>
          <w:t xml:space="preserve">32/2008/NĐ-CP </w:t>
        </w:r>
      </w:hyperlink>
      <w:r>
        <w:t xml:space="preserve"> ngày 19 tháng 3 năm 2008 của Chính phủ quy định chức năng, nhiệm vụ, quyền hạn và cơ cấu tổ chức của Bộ Giáo dục và Đào tạo;</w:t>
      </w:r>
    </w:p>
    <w:p>
      <w:pPr>
        <w:pStyle w:val="Normal(Web)"/>
        <w:divId w:val="13"/>
        <w:rPr>
          <w:vanish w:val="0"/>
        </w:rPr>
      </w:pPr>
      <w:r>
        <w:t xml:space="preserve">Căn cứ Nghị định số </w:t>
      </w:r>
      <w:hyperlink r:id="rId6" w:history="1">
        <w:r>
          <w:rPr>
            <w:rStyle w:val="Hyperlink"/>
          </w:rPr>
          <w:t xml:space="preserve">75/2006/NĐ-CP </w:t>
        </w:r>
      </w:hyperlink>
      <w:r>
        <w:t xml:space="preserve"> ngày 02 tháng 8 năm 2006 của Chính phủ quy định chi tiết và hướng dẫn thi hành một số điều của Luật giáo dục;</w:t>
      </w:r>
    </w:p>
    <w:p>
      <w:pPr>
        <w:pStyle w:val="Normal(Web)"/>
        <w:divId w:val="14"/>
        <w:rPr>
          <w:vanish w:val="0"/>
        </w:rPr>
      </w:pPr>
      <w:r>
        <w:t xml:space="preserve">Căn cứ Nghị định số </w:t>
      </w:r>
      <w:hyperlink r:id="rId7" w:history="1">
        <w:r>
          <w:rPr>
            <w:rStyle w:val="Hyperlink"/>
          </w:rPr>
          <w:t xml:space="preserve">31/2011/NĐ-CP </w:t>
        </w:r>
      </w:hyperlink>
      <w:r>
        <w:t xml:space="preserve">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pPr>
        <w:pStyle w:val="Normal(Web)"/>
        <w:divId w:val="15"/>
        <w:rPr>
          <w:vanish w:val="0"/>
        </w:rPr>
      </w:pPr>
      <w:r>
        <w:t xml:space="preserve">Căn cứ Quyết định số 33/2007/QĐ-BGDĐT ngày 20 tháng 6 năm 2007 của Bộ trưởng Bộ Giáo dục và Đào tạo ban hành Quy chế văn bằng, chứng chỉ của hệ thống giáo dục quốc dân;</w:t>
      </w:r>
    </w:p>
    <w:p>
      <w:pPr>
        <w:pStyle w:val="Normal(Web)"/>
        <w:divId w:val="16"/>
        <w:rPr>
          <w:vanish w:val="0"/>
        </w:rPr>
      </w:pPr>
      <w:r>
        <w:t xml:space="preserve">Theo đề nghị của Vụ trưởng Vụ Pháp chế và Vụ trưởng Vụ Giáo dục Đại học;</w:t>
      </w:r>
    </w:p>
    <w:p>
      <w:pPr>
        <w:pStyle w:val="Normal(Web)"/>
        <w:divId w:val="17"/>
        <w:rPr>
          <w:vanish w:val="0"/>
        </w:rPr>
      </w:pPr>
      <w:r>
        <w:t xml:space="preserve">Bộ trưởng Bộ Giáo dục và Đào tạo quyết định:</w:t>
      </w:r>
    </w:p>
    <w:p>
      <w:pPr>
        <w:pStyle w:val="Normal(Web)"/>
        <w:divId w:val="18"/>
        <w:rPr>
          <w:vanish w:val="0"/>
        </w:rPr>
      </w:pPr>
      <w:r>
        <w:rPr>
          <w:b/>
        </w:rPr>
        <w:t xml:space="preserve">Điều 1.</w:t>
      </w:r>
      <w:r>
        <w:t xml:space="preserve"> Ban hành kèm theo Thông tư này mẫu bằng tốt nghiệp đại học.</w:t>
      </w:r>
    </w:p>
    <w:p>
      <w:pPr>
        <w:pStyle w:val="Normal(Web)"/>
        <w:divId w:val="19"/>
        <w:rPr>
          <w:vanish w:val="0"/>
        </w:rPr>
      </w:pPr>
      <w:r>
        <w:rPr>
          <w:b/>
        </w:rPr>
        <w:t xml:space="preserve">Điều 2.</w:t>
      </w:r>
      <w:r>
        <w:t xml:space="preserve"> Bằng tốt nghiệp đại học gồm bốn (4) trang, mỗi trang có kích thước 21cm x 14,5cm.</w:t>
      </w:r>
    </w:p>
    <w:p>
      <w:pPr>
        <w:pStyle w:val="Normal(Web)"/>
        <w:divId w:val="20"/>
        <w:rPr>
          <w:vanish w:val="0"/>
        </w:rPr>
      </w:pPr>
      <w:r>
        <w:t xml:space="preserve">1. Trang 1 và trang 4 có nền màu đỏ; trang 1 có hình Quốc huy, các chữ in trên trang 1 có màu vàng; trang 2 và trang 3 có nền màu vàng, hoa văn viền màu vàng đậm, tên bằng có màu đỏ, các chữ khác có màu đen; hình trống đồng in chìm chính giữa trang 2, hình Quốc huy in chìm chính giữa trang 3.</w:t>
      </w:r>
    </w:p>
    <w:p>
      <w:pPr>
        <w:pStyle w:val="Normal(Web)"/>
        <w:divId w:val="21"/>
        <w:rPr>
          <w:vanish w:val="0"/>
        </w:rPr>
      </w:pPr>
      <w:r>
        <w:t xml:space="preserve">2. Cách ghi trên bằng tốt nghiệp đại học được quy định như sau:</w:t>
      </w:r>
    </w:p>
    <w:p>
      <w:pPr>
        <w:pStyle w:val="Normal(Web)"/>
        <w:divId w:val="22"/>
        <w:rPr>
          <w:vanish w:val="0"/>
        </w:rPr>
      </w:pPr>
      <w:r>
        <w:t xml:space="preserve">a) Phía dưới tên cơ sở giáo dục tại trang 3 ghi tên văn bằng, bằng tiếng Việt, cụ thể:</w:t>
      </w:r>
    </w:p>
    <w:p>
      <w:pPr>
        <w:pStyle w:val="Normal(Web)"/>
        <w:divId w:val="23"/>
        <w:rPr>
          <w:vanish w:val="0"/>
        </w:rPr>
      </w:pPr>
      <w:r>
        <w:t xml:space="preserve">Đối với ngành kỹ thuật ghi “BẰNG KỸ SƯ”.</w:t>
      </w:r>
    </w:p>
    <w:p>
      <w:pPr>
        <w:pStyle w:val="Normal(Web)"/>
        <w:divId w:val="24"/>
        <w:rPr>
          <w:vanish w:val="0"/>
        </w:rPr>
      </w:pPr>
      <w:r>
        <w:t xml:space="preserve">Đối với ngành kiến trúc ghi “BẰNG KIẾN TRÚC SƯ”.</w:t>
      </w:r>
    </w:p>
    <w:p>
      <w:pPr>
        <w:pStyle w:val="Normal(Web)"/>
        <w:divId w:val="25"/>
        <w:rPr>
          <w:vanish w:val="0"/>
        </w:rPr>
      </w:pPr>
      <w:r>
        <w:t xml:space="preserve">Đối với ngành y ghi “BẰNG BÁC SĨ” hoặc “BẰNG CỬ NHÂN”.</w:t>
      </w:r>
    </w:p>
    <w:p>
      <w:pPr>
        <w:pStyle w:val="Normal(Web)"/>
        <w:divId w:val="26"/>
        <w:rPr>
          <w:vanish w:val="0"/>
        </w:rPr>
      </w:pPr>
      <w:r>
        <w:t xml:space="preserve">Đối với ngành dược ghi “BẰNG DƯỢC SĨ” hoặc “BẰNG CỬ NHÂN”.</w:t>
      </w:r>
    </w:p>
    <w:p>
      <w:pPr>
        <w:pStyle w:val="Normal(Web)"/>
        <w:divId w:val="27"/>
        <w:rPr>
          <w:vanish w:val="0"/>
        </w:rPr>
      </w:pPr>
      <w:r>
        <w:t xml:space="preserve">Đối với các ngành khoa học cơ bản, sư phạm, luật, kinh tế ghi “BẰNG CỬ NHÂN”.</w:t>
      </w:r>
    </w:p>
    <w:p>
      <w:pPr>
        <w:pStyle w:val="Normal(Web)"/>
        <w:divId w:val="28"/>
        <w:rPr>
          <w:vanish w:val="0"/>
        </w:rPr>
      </w:pPr>
      <w:r>
        <w:t xml:space="preserve">Đối với các ngành còn lại ghi “BẰNG TỐT NGHIỆP ĐẠI HỌC”.</w:t>
      </w:r>
    </w:p>
    <w:p>
      <w:pPr>
        <w:pStyle w:val="Normal(Web)"/>
        <w:divId w:val="29"/>
        <w:rPr>
          <w:vanish w:val="0"/>
        </w:rPr>
      </w:pPr>
      <w:r>
        <w:t xml:space="preserve">b) Phía dưới dòng chữ “has conferred” tại trang 2 ghi tên văn bằng, bằng tiếng Anh, cụ thể:</w:t>
      </w:r>
    </w:p>
    <w:p>
      <w:pPr>
        <w:pStyle w:val="Normal(Web)"/>
        <w:divId w:val="30"/>
        <w:rPr>
          <w:vanish w:val="0"/>
        </w:rPr>
      </w:pPr>
      <w:r>
        <w:t xml:space="preserve">Đối với ngành kỹ thuật ghi “THE DEGREE OF ENGINEER”.</w:t>
      </w:r>
    </w:p>
    <w:p>
      <w:pPr>
        <w:pStyle w:val="Normal(Web)"/>
        <w:divId w:val="31"/>
        <w:rPr>
          <w:vanish w:val="0"/>
        </w:rPr>
      </w:pPr>
      <w:r>
        <w:t xml:space="preserve">Đối với ngành kiến trúc ghi “THE DEGREE OF ARCHITECT”.</w:t>
      </w:r>
    </w:p>
    <w:p>
      <w:pPr>
        <w:pStyle w:val="Normal(Web)"/>
        <w:divId w:val="32"/>
        <w:rPr>
          <w:vanish w:val="0"/>
        </w:rPr>
      </w:pPr>
      <w:r>
        <w:t xml:space="preserve">Đối với ngành y ghi “THE DEGREE OF DOCTOR OF MEDICINE” hoặc “THE DEGREE OF BACHELOR”.</w:t>
      </w:r>
    </w:p>
    <w:p>
      <w:pPr>
        <w:pStyle w:val="Normal(Web)"/>
        <w:divId w:val="33"/>
        <w:rPr>
          <w:vanish w:val="0"/>
        </w:rPr>
      </w:pPr>
      <w:r>
        <w:t xml:space="preserve">Đối với ngành dược ghi “THE DEGREE OF PHARMACIST” hoặc “THE DEGREE OF BACHELOR”.</w:t>
      </w:r>
    </w:p>
    <w:p>
      <w:pPr>
        <w:pStyle w:val="Normal(Web)"/>
        <w:divId w:val="34"/>
        <w:rPr>
          <w:vanish w:val="0"/>
        </w:rPr>
      </w:pPr>
      <w:r>
        <w:t xml:space="preserve">Đối với các ngành khoa học cơ bản, sư phạm, luật, kinh tế ghi “THE DEGREE OF BACHELOR”.</w:t>
      </w:r>
    </w:p>
    <w:p>
      <w:pPr>
        <w:pStyle w:val="Normal(Web)"/>
        <w:divId w:val="35"/>
        <w:rPr>
          <w:vanish w:val="0"/>
        </w:rPr>
      </w:pPr>
      <w:r>
        <w:t xml:space="preserve">Đối với các ngành còn lại ghi “THE DEGREE OF BACHELOR”.</w:t>
      </w:r>
    </w:p>
    <w:p>
      <w:pPr>
        <w:pStyle w:val="Normal(Web)"/>
        <w:divId w:val="36"/>
        <w:rPr>
          <w:vanish w:val="0"/>
        </w:rPr>
      </w:pPr>
      <w:r>
        <w:t xml:space="preserve">c) Phía dưới dòng tên văn bằng quy định tại điểm a khoản này, ghi tên ngành đào tạo bằng tiếng Việt;</w:t>
      </w:r>
    </w:p>
    <w:p>
      <w:pPr>
        <w:pStyle w:val="Normal(Web)"/>
        <w:divId w:val="37"/>
        <w:rPr>
          <w:vanish w:val="0"/>
        </w:rPr>
      </w:pPr>
      <w:r>
        <w:t xml:space="preserve">Phía dưới dòng tên văn bằng quy định tại điểm b khoản này, ghi tên ngành đào tạo bằng tiếng Anh.</w:t>
      </w:r>
    </w:p>
    <w:p>
      <w:pPr>
        <w:pStyle w:val="Normal(Web)"/>
        <w:divId w:val="38"/>
        <w:rPr>
          <w:vanish w:val="0"/>
        </w:rPr>
      </w:pPr>
      <w:r>
        <w:t xml:space="preserve">d) Cách ghi các nội dung trên bằng tốt nghiệp đại học quy định tại Phụ lục kèm theo Thông tư này.</w:t>
      </w:r>
    </w:p>
    <w:p>
      <w:pPr>
        <w:pStyle w:val="Normal(Web)"/>
        <w:divId w:val="39"/>
        <w:rPr>
          <w:vanish w:val="0"/>
        </w:rPr>
      </w:pPr>
      <w:r>
        <w:rPr>
          <w:b/>
        </w:rPr>
        <w:t xml:space="preserve">Điều 3.</w:t>
      </w:r>
      <w:r>
        <w:t xml:space="preserve">Thông tư này có hiệu lực thi hành kể từ ngày 10 tháng 7 năm 2011. Thông tư này thay thế Thông tư số </w:t>
      </w:r>
      <w:hyperlink r:id="rId8" w:history="1">
        <w:r>
          <w:rPr>
            <w:rStyle w:val="Hyperlink"/>
          </w:rPr>
          <w:t xml:space="preserve">22/2009/TT-BGDĐT </w:t>
        </w:r>
      </w:hyperlink>
      <w:r>
        <w:t xml:space="preserve"> ngày 12 tháng 8 năm 2009 của Bộ trưởng Bộ Giáo dục và Đào tạo ban hành mẫu bằng tốt nghiệp đại học.</w:t>
      </w:r>
    </w:p>
    <w:p>
      <w:pPr>
        <w:pStyle w:val="Normal(Web)"/>
        <w:divId w:val="40"/>
        <w:rPr>
          <w:vanish w:val="0"/>
        </w:rPr>
      </w:pPr>
      <w:r>
        <w:t xml:space="preserve">Các phôi bằng tốt nghiệp đại học đã in, cấp phát theo mẫu quy định tại Thông tư số 22/2009/TT-BGDĐT trước ngày Thông tư này có hiệu lực, có giá trị sử dụng đến hết năm học 2011-2012.</w:t>
      </w:r>
    </w:p>
    <w:p>
      <w:pPr>
        <w:pStyle w:val="Normal(Web)"/>
        <w:divId w:val="41"/>
        <w:rPr>
          <w:vanish w:val="0"/>
        </w:rPr>
      </w:pPr>
      <w:r>
        <w:rPr>
          <w:b/>
        </w:rPr>
        <w:t xml:space="preserve">Điều 4.</w:t>
      </w:r>
      <w:r>
        <w:t xml:space="preserve"> Chánh Văn phòng, Vụ trưởng Vụ Pháp chế, Vụ trưởng Vụ Giáo dục Đại học, Thủ trưởng các đơn vị có liên quan thuộc Bộ Giáo dục và Đào tạo, Thủ trưởng cơ sở giáo dục đại học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2"/>
              <w:rPr>
                <w:vanish w:val="0"/>
              </w:rPr>
            </w:pPr>
            <w:r>
              <w:rPr>
                <w:b/>
                <w:i/>
              </w:rPr>
              <w:t xml:space="preserve">Nơi nhận:</w:t>
            </w:r>
          </w:p>
          <w:p>
            <w:pPr>
              <w:pStyle w:val="Normal(Web)"/>
              <w:divId w:val="43"/>
              <w:rPr>
                <w:vanish w:val="0"/>
              </w:rPr>
            </w:pPr>
            <w:r>
              <w:t xml:space="preserve">- Văn phòng Chính phủ; </w:t>
            </w:r>
          </w:p>
          <w:p>
            <w:pPr>
              <w:pStyle w:val="Normal(Web)"/>
              <w:divId w:val="44"/>
              <w:rPr>
                <w:vanish w:val="0"/>
              </w:rPr>
            </w:pPr>
            <w:r>
              <w:t xml:space="preserve">- UBVHGDTNTN&amp;NĐ của QH; </w:t>
            </w:r>
          </w:p>
          <w:p>
            <w:pPr>
              <w:pStyle w:val="Normal(Web)"/>
              <w:divId w:val="45"/>
              <w:rPr>
                <w:vanish w:val="0"/>
              </w:rPr>
            </w:pPr>
            <w:r>
              <w:t xml:space="preserve">- Như Điều 4; </w:t>
            </w:r>
          </w:p>
          <w:p>
            <w:pPr>
              <w:pStyle w:val="Normal(Web)"/>
              <w:divId w:val="46"/>
              <w:rPr>
                <w:vanish w:val="0"/>
              </w:rPr>
            </w:pPr>
            <w:r>
              <w:t xml:space="preserve">- Cục kiểm tra văn bản QPPL (Bộ Tư pháp); </w:t>
            </w:r>
          </w:p>
          <w:p>
            <w:pPr>
              <w:pStyle w:val="Normal(Web)"/>
              <w:divId w:val="47"/>
              <w:rPr>
                <w:vanish w:val="0"/>
              </w:rPr>
            </w:pPr>
            <w:r>
              <w:t xml:space="preserve">- Công báo;</w:t>
            </w:r>
          </w:p>
          <w:p>
            <w:pPr>
              <w:pStyle w:val="Normal(Web)"/>
              <w:divId w:val="48"/>
              <w:rPr>
                <w:vanish w:val="0"/>
              </w:rPr>
            </w:pPr>
            <w:r>
              <w:t xml:space="preserve">- Kiểm toán nhà nước;</w:t>
            </w:r>
          </w:p>
          <w:p>
            <w:pPr>
              <w:pStyle w:val="Normal(Web)"/>
              <w:divId w:val="49"/>
              <w:rPr>
                <w:vanish w:val="0"/>
              </w:rPr>
            </w:pPr>
            <w:r>
              <w:t xml:space="preserve">- Website Chính phủ;</w:t>
            </w:r>
          </w:p>
          <w:p>
            <w:pPr>
              <w:pStyle w:val="Normal(Web)"/>
              <w:divId w:val="50"/>
              <w:rPr>
                <w:vanish w:val="0"/>
              </w:rPr>
            </w:pPr>
            <w:r>
              <w:t xml:space="preserve">- Website Bộ;</w:t>
            </w:r>
          </w:p>
          <w:p>
            <w:pPr>
              <w:pStyle w:val="Normal(Web)"/>
              <w:divId w:val="51"/>
              <w:rPr>
                <w:vanish w:val="0"/>
              </w:rPr>
            </w:pPr>
            <w:r>
              <w:t xml:space="preserve">- Lưu VT, Vụ PC.</w:t>
            </w:r>
          </w:p>
        </w:tc>
        <w:tc>
          <w:tcPr>
            <w:tcW w:w="0" w:type="auto"/>
            <w:shd w:val="clear" w:color="auto" w:fill="auto"/>
            <w:vAlign w:val="center"/>
          </w:tcPr>
          <w:p>
            <w:pPr>
              <w:pStyle w:val="Normal(Web)"/>
              <w:divId w:val="52"/>
              <w:jc w:val="center"/>
              <w:rPr>
                <w:vanish w:val="0"/>
              </w:rPr>
            </w:pPr>
            <w:r>
              <w:rPr>
                <w:b/>
              </w:rPr>
              <w:t xml:space="preserve">BỘ TRƯỞNG</w:t>
            </w:r>
          </w:p>
          <w:p>
            <w:pPr>
              <w:pStyle w:val="Normal(Web)"/>
              <w:divId w:val="53"/>
              <w:jc w:val="center"/>
              <w:rPr>
                <w:vanish w:val="0"/>
              </w:rPr>
            </w:pPr>
            <w:r>
              <w:rPr>
                <w:i/>
              </w:rPr>
              <w:t xml:space="preserve">(Đã ký)</w:t>
            </w:r>
          </w:p>
          <w:p>
            <w:pPr>
              <w:pStyle w:val="Normal(Web)"/>
              <w:divId w:val="54"/>
              <w:jc w:val="center"/>
              <w:rPr>
                <w:vanish w:val="0"/>
              </w:rPr>
            </w:pPr>
            <w:r>
              <w:rPr>
                <w:b/>
              </w:rPr>
              <w:t xml:space="preserve">Phạm Vũ Luận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9-2011-tt-bgddt-cua-bo-giao-duc-va-dao-tao-ban-hanh-mau-bang-tot-nghiep-dai-hoc.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yperlink" Target="/nghi-dinh-31-2011-nd-cp-sua-doi-nghi-dinh-so-75-2006-nd-cp.aspx" TargetMode="External" /><Relationship Id="rId8" Type="http://schemas.openxmlformats.org/officeDocument/2006/relationships/hyperlink" Target="/thong-tu-22-2009-tt-bgddt-mau-bang-tot-nghiep-dai-ho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2022-06-21T16:26:12Z</dcterms:created>
  <dcterms:modified xsi:type="dcterms:W3CDTF">2022-06-21T16:26:12Z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2022-06-21T16:26:12Z</dcterms:created>
  <dcterms:modified xsi:type="dcterms:W3CDTF">2022-06-21T16:26:12Z</dcterms:modified>
</cp:coreProperties>
</file>