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12/2010/TT-BTC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20 tháng 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Hướng dẫn việc xử lý tang vật vi phạm hành chính là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vật phẩm dễ bị hư hỏng và quản l</w:t>
      </w:r>
      <w:r>
        <w:t xml:space="preserve">‎</w:t>
      </w:r>
      <w:r>
        <w:rPr>
          <w:b/>
        </w:rPr>
        <w:t xml:space="preserve">ý số tiền thu được từ xử lý tang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phương tiện tịch thu sung quỹ nhà nước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4" w:history="1">
        <w:r>
          <w:rPr>
            <w:rStyle w:val="Hyperlink"/>
          </w:rPr>
          <w:t xml:space="preserve">128/2008/NĐ-CP </w:t>
        </w:r>
      </w:hyperlink>
      <w:r>
        <w:t xml:space="preserve">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5" w:history="1">
        <w:r>
          <w:rPr>
            <w:rStyle w:val="Hyperlink"/>
          </w:rPr>
          <w:t xml:space="preserve">60/2003/NĐ-CP </w:t>
        </w:r>
      </w:hyperlink>
      <w:r>
        <w:t xml:space="preserve"> ngày 06 tháng 6 năm 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việc xử lý tang vật vi phạm hành chính là hàng hoá, vật phẩm dễ bị hư hỏng và quản l‎ý số tiền thu được từ xử lý tang vật, phương tiện tịch thu sung quỹ nhà nước do vi phạm hành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Xử lý tang vật vi phạm hành chính là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số tiền thu được từ xử lý tang vật, phương tiện tịch thu sung quỹ nhà nước do vi phạm hành chính (bao gồm cả số tiền thu được từ xử lý tang vật vi phạm hành chính là hàng hoá, vật phẩm dễ bị hư hỏng và các tang vật, phương tiện vi phạm hành chính khác); trừ tang vật, phương tiện tịch thu sung quỹ nhà nước do vi phạm hành chính thuộc lĩnh vực chống buôn lậu, gian lận thương mại,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số tiền thu được từ xử lý tang vật, phương tiện tịch thu sung quỹ nhà nước do vi phạm hành chính thuộc lĩnh vực chống buôn lậu, gian lận thương mại, hàng giả thực hiện theo hướng dẫn riêng của Bộ Tài chính; không thuộc phạm vi điều chỉnh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XỬ LÝ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LÀ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vật phẩm dễ bị hư hỏng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tươi sống, dễ bị ôi thiu, khó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thực phẩm đã qua chế biến, thuốc chữa bệnh mà hạn sử dụng còn dưới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loại hàng hoá, vật phẩm khác nếu không xử lý ngay sau khi bắt giữ sẽ bị hư hỏng, hết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Hình thức xử lý tang vật là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trực tiếp (không thông qua đấu giá), trừ các trường hợp phải tiêu huỷ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huỷ đối với hàng hoá, vật phẩm đã bị hư hỏng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Tổ chức xử lý tang vật là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hoá, vật phẩm dễ bị hư hỏng xử lý theo hình thức bán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quyết định tịch thu tang vật, phương tiện theo quy định của pháp luật về xử lý vi phạm hành chính (sau đây gọi chung là người có thẩm quyền tịch thu) tổ chức bán hàng hoá, vật phẩm cho tổ chức, cá nhân có nhu cầu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bán hàng hoá, vật phẩm dễ bị hư hỏng được xác định căn cứ vào chất lượng của hàng hoá, vật phẩm và bảng giá do Sở Tài chính công bố tại thời điểm gần nhất; trường hợp Sở Tài chính không công bố bảng giá hoặc hàng hoá, vật phẩm dễ bị hư hỏng không có trong bảng giá do Sở Tài chính công bố thì người có thẩm quyền tịch thu chủ trì, phối hợp với cơ quan tài chính quy định tại điểm b khoản này căn cứ vào chất lượng và giá bán trên thị trường của hàng hoá cùng loại để xác định giá bán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tịch thu có trách nhiệm tổ chức đánh giá chất lượng hàng hoá, vật phẩm bán ra; trường hợp cần thiết, người có thẩm quyền tịch thu mời cơ quan chuyên môn để phối hợp đánh giá chất lượng hàng hoá, vật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tài chính cùng cấp với cơ quan của người có thẩm quyền tịch thu hoặc cơ quan tài chính tại địa bàn xảy ra hành vi vi phạm (trong trường hợp được cơ quan tài chính cấp trên uỷ quyền hoặc trường hợp người có thẩm quyền tịch thu thuộc cơ quan không tổ chức theo cấp hành chính) phối hợp với người có thẩm quyền tịch thu trong việc xác định giá bán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bán hàng hoá, vật phẩm dễ bị hư hỏng phải được lập biên bản. Nội dung chủ yếu của biên bản gồm: căn cứ thực hiện bán; thời gian, địa điểm bán; người bán; tên, chủng loại, số lượng, hiện trạng của hàng hoá, vật phẩm tại thời điểm bán; đơn giá bán, giá trị thanh toán; người mua và các nội dung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hoá, vật phẩm dễ bị hư hỏng phải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tịch thu thành lập Hội đồng xử lý để tiêu huỷ các hàng hoá, vật phẩm dễ bị hư hỏng quy định tại khoản 2 Điều 3 Thông tư này; Hội đồng xử lý do người có thẩm quyền tịch thu hoặc người được uỷ quyền làm Chủ tịch, các thành viên khác gồm: đại diện cơ quan tài chính quy định tại điểm b khoản 1 Điều này và đại diện các cơ quan chuyên môn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hình thức tiêu huỷ: Tuỳ thuộc vào tính chất, đặc điểm của hàng hoá, vật phẩm và yêu cầu đảm bảo vệ sinh môi trường, việc tiêu huỷ được thực hiện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biện pháp cơ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Huỷ đốt;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Huỷ chôn;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tiêu huỷ hàng hoá, vật phẩm phải được lập biên bản, có đầy đủ chữ ký của các thành viên Hội đồng xử lý. Nội dung chủ yếu của biên bản gồm: căn cứ và lý do thực hiện tiêu huỷ; thời gian, địa điểm tiêu huỷ; thành phần tham gia tiêu huỷ; tên, chủng loại, số lượng, hiện trạng của hàng hoá, vật phẩm tại thời điểm tiêu huỷ; hình thức tiêu huỷ và các nội dung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Quản lý tiền thu được từ việc xử lý tang vật là hàng hoá, vật phẩm dễ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 được từ việc xử lý tang vật là hàng hoá, vật phẩm dễ bị hư hỏng phải gửi vào tài khoản tạm gửi (tài khoản tiền gửi) của cơ quan của người có thẩm quyền ra quyết định tịch thu mở tại Kho bạc Nhà nước và được quản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tang vật bị tịch thu sung quỹ nhà nước theo quyết định của người có thẩm quyền thì việc quản lý, sử dụng số tiền thu được thực hiện theo quy định tại Điều 6 và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tang vật không bị tịch thu sung quỹ nhà nước thì số tiền thu được phải trả cho chủ sở hữu, người quản lý hoặc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QUẢN LÝ SỐ TIỀN THU ĐƯỢC TỪ VIỆC XỬ LÝ TANG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PHƯƠNG TIỆN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Quản lý tiền thu được từ xử lý tang vật, phương tiện tịch thu sung quỹ nhà nước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Toàn bộ số tiền thu được từ việc bán tang vật, phương tiện tịch thu sung quỹ nhà nước do vi phạm hành chính, sau khi trừ các khoản chi phí quy định tại khoản 1 Điều 7 Thông tư này, được nộp vào tài khoản tạm giữ hoặc tài khoản phải trả về tiền, tài sản tạm giữ chờ xử lý (sau đây gọi chung là tài khoản tạm giữ) của cơ quan tài chính mở tại Kho bạc Nhà nước, cụ thể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tang vật, phương tiện vi phạm hành chính do người có thẩm quyền của cơ quan Trung ương và cấp tỉnh ra quyết định tịch thu sung quỹ nhà nước thì nộp vào tài khoản tạm giữ của Sở Tài chính mở tại Kho bạc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tang vật, phương tiện vi phạm hành chính do người có thẩm quyền của cơ quan cấp huyện trở xuống ra quyết định tịch thu sung quỹ nhà nước thì nộp vào tài khoản tạm giữ của cơ quan tài chính cấp huyện mở tại Kho bạc Nhà nước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thu được từ việc bán tang vật, phương tiện tịch thu sung quỹ nhà nước do vi phạm hành chính trên tài khoản tạm giữ của cơ quan tài chính mở tại Kho bạc Nhà nước quy định tại khoản 1 Điều này, sau khi trừ đi các chi phí quy định tại khoản 2 Điều 7 Thông tư này được nộp vào ngân sách nhà nước theo quy định của pháp luật về phân cấp quản lý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Quản lý, sử dụng các khoản chi liên quan đến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giao bán tang vật, phương tiện tịch thu sung quỹ nhà nước do vi phạm hành chính quyết định và chịu trách nhiệm về quyết định của mình trong việc thanh toán các khoản chi phí sau đây từ số tiền thu được do bán tang vật, phương tiện trước khi nộp vào tài khoản tạm giữ của cơ quan tài chính mở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vận chuyển, giao nhận, bảo quản tài sản từ khi có quyết định bắt giữ tang vật, phương tiện đến khi hoàn thành việc xử lý. Trường hợp cơ quan ra quyết định bắt giữ và tổ chức được giao bán tang vật, phương tiện đã được Nhà nước bố trí kho bãi, biên chế, phương tiện vận tải, kinh phí thường xuyên thì không được thanh toán các khoản chi phí liên quan đến vận chuyển, bảo quản những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Phí bán đấu giá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quản lý tài khoản tạm giữ quy định tại Điều 6 Thông tư này có trách nhiệm thanh toán các khoản chi phí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điều tra, xác minh, bắt giữ gồm: chi thông tin liên lạc cho cán bộ tham gia xử lý; chi xăng dầu cho phương tiện kiểm tra, bắt giữ, dẫn giải, bảo vệ đối tượng và tang vật hoặc chi thuê phương tiện, địa điểm (nếu có); chi sửa chữa phương tiện kiểm tra bị hư hỏng khi tiến hành truy đuổi, bắt giữ; chi đăng tin, thông báo tìm chủ hàng. Mức chi tối đa không quá 5% số tiền thu được từ xử lý tài sản của vụ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mua tin (nếu có): mức chi mua tin của mỗi vụ việc tối đa là mười phần trăm (10%) số thu từ bán tang vật, phương tiện vi phạm hành chính bị tịch thu của vụ việc đó nhưng không được vượt quá năm mươi triệu đồng (50.000.000 đồng). Đối với những vụ việc mà tang vật, phương tiện tịch thu là hàng giả, hàng hoá phải tiêu huỷ hoặc có giá trị thấp thì không khống chế chi phí mua tin theo tỷ lệ trên số thu nhưng tối đa không được quá ba mươi triệu đồng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chi phí mua tin phải có đầy đủ chứng từ theo quy định; trường hợp yêu cầu phải giữ bí mật tên người cung cấp tin, việc thanh toán khoản chi mua tin căn cứ vào phiếu chi với đầy đủ chữ ký của người trực tiếp chi tiền cho người cung cấp tin, của thủ quỹ, kế toán và thủ trưởng đơn vị trực tiếp điều tra, xử lý vi phạm hành chính. Thủ trưởng đơn vị trực tiếp điều tra, xử lý vi phạm hành chính, vi phạm pháp luật hình sự phải chịu trách nhiệm về tính chính xác, trung thực trong việc thanh toán chi mua tin, đảm bảo chi đúng người, đúng việc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cho việc chăm sóc, cứu hộ động vật hoang dã từ thời điểm tạm giữ cho đến khi hoàn thành việc thả vào môi trường tự nhiên theo quy định hoặc chuyển giao cho vườn thú, trung tâm thí nghiệm, tổ chức khác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kiểm nghiệm, giám định, định giá trị tài sản tạm giữ làm căn cứ xác định khung tiền phạt, thẩm quyền xử phạt; chi bồi thường tổn thất do nguyên nhân khách quan (nếu có) từ thời điểm kiểm tra hoặc tạm giữ cho tới khi có quyết định phê duyệt phương án xử lý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thuê sửa chữa tài sản để bán nếu tài sản phải sửa chữa mới bán được hoặc giá trị tăng thêm của tài sản lớn hơn so với chi phí sửa chữa (nếu có); chi khắc phục tổn thất về tài sản do nguyên nhân khách quan trong quá trình bán đấu giá (nếu có); chi phí thực tế và hợp lý trong trường hợp bán đấu giá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chi phí thực tế cho việc tổ chức bán tài sản của Hội đồng bán đấu giá tài sản cấp huyện, Trung tâm dịch vụ bán đấu giá cấp tỉnh hoặc cơ quan của người ra quyết định tịch thu. Hội đồng bán đấu giá tài sản cấp huyện hoặc Trung tâm dịch vụ bán đấu giá cấp tỉnh được cơ quan tài chính tạm ứng trước tối đa không quá 5% trên giá trị (theo giá khởi điểm) của tài sản bán đấu giá để có nguồn chi cho công tác bán đấu giá tài sản. Kết thúc việc bán đấu giá, Hội đồng bán đấu giá tài sản cấp huyện hoặc Trung tâm dịch vụ bán đấu giá cấp tỉnh phải thanh quyết toán số tiền tạm ứng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bồi dưỡng làm thêm giờ; bồi dưỡng công tác kiêm nhiệm của cá nhân tham gia điều tra, bắt giữ, quản lý, xử lý tài sản tịch thu sung quỹ nhà nước do vi phạm hành chính. Mức chi cụ thể do Chủ tịch Uỷ ban nhân dân tỉnh, thành phố trực thuộc Trung ương (sau đây gọi tắt là cấp tỉnh) quyết định theo đề nghị của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hỗ trợ ban đầu cho cán bộ, công chức thuộc lực lượng tham gia xử lý vi phạm hành chính bị thương, tai nạn hoặc gia đình của cán bộ, công chức hy sinh khi thi hành công vụ, mức chi tối đa không quá 20% số thu từ bán tang vật, phương tiện của vụ việc và do Chủ tịch Uỷ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cho công tác tuyên truyền; chi hỗ trợ mua sắm bổ sung trang thiết bị, phương tiện làm việc, đầu tư cơ sở vật chất phục vụ công tác xử lý vi phạm hành chính. Tổng mức chi cho các nội dung này do Chủ tịch Uỷ ban nhân dân cấp tỉnh quyết định nhưng tối đa không quá 10% số thu từ bán tang vật, phương tiện của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khen thưởng cho các tập thể, cá nhân có thành tích xuất sắc trong công tác quản lý, xử lý tài sản tịch thu sung quỹ nhà nước do vi phạm hành chính. Mức chi cụ thể được thực hiện theo quy định hiện hành của Chính phủ về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Chi hội nghị sơ kết, tổng kết công tác bắt giữ, xử lý tang vật, phương tiện vi phạm hành chính. Nội dung chi và mức chi thực hiện theo quy định hiện hành về chế độ công tác phí, chế độ hội nghị đối với các cơ quan hành chính và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khoản chi phí thực tế, hợp lý cho việc tổ chức thanh lý, tiêu huỷ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Các khoản chi khác có liên quan trực tiếp đến việc bắt giữ, tịch thu, bảo quản, xử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thanh toán các khoản chi phí quy định tại khoản 1 và khoản 2 Điều này được căn cứ vào đề nghị của các cơ quan, tổ chức tham gia quản lý, xử lý tài sản; tính hợp lý, hợp lệ của các khoản chi và các quy định của Nhà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kinh phí để chi cho các nội dung quy định tại khoản 2 Điều này được sử dụng từ số thu do bán tang vật, phương tiện vi phạm hành chính bị tịch thu trên tài khoản tạm giữ của cơ quan tài chính mở tại Kho bạc Nhà nước. Trường hợp số tiền trên tài khoản tạm giữ không đủ để thanh toán thì đề nghị hỗ trợ từ ngân sách nhà nước theo quy định của pháp luật về phân cấp quản lý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tài sản chuyển giao cho các cơ quan, tổ chức, đơn vị của Nhà nước quản lý, sử dụng, thì các chi phí phát sinh từ khi có quyết định phê duyệt phương án xử lý của cơ quan có thẩm quyền đến khi hoàn thành việc bàn giao do cơ quan, tổ chức, đơn vị được tiếp nhận tài sản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của Bộ Tài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tư số </w:t>
      </w:r>
      <w:hyperlink r:id="rId7" w:history="1">
        <w:r>
          <w:rPr>
            <w:rStyle w:val="Hyperlink"/>
          </w:rPr>
          <w:t xml:space="preserve">72/2004/TT-BTC </w:t>
        </w:r>
      </w:hyperlink>
      <w:r>
        <w:t xml:space="preserve"> ngày 15 tháng 7 năm 2004 của Bộ Tài chính hướng dẫn việc quản lý và xử lý tang vật, phương tiện tịch thu sung quỹ nhà nước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số 04/2006/TT-BTC ngày 18 tháng 01 năm 2006 của Bộ Tài chính sửa đổi, bổ sung Thông tư số 72/2004/TT-BTC ngày 15 tháng 7 năm 2004 của Bộ Tài chính hướng dẫn việc quản lý và xử lý tang vật, phương tiện tịch thu sung quỹ nhà nước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Điểm 2.1 khoản 2 Mục III Thông tư số </w:t>
      </w:r>
      <w:hyperlink r:id="rId8" w:history="1">
        <w:r>
          <w:rPr>
            <w:rStyle w:val="Hyperlink"/>
          </w:rPr>
          <w:t xml:space="preserve">34/2005/TT-BTC </w:t>
        </w:r>
      </w:hyperlink>
      <w:r>
        <w:t xml:space="preserve"> ngày 12 tháng 5 năm 2005 của Bộ Tài chính hướng dẫn việc xác định giá khởi điểm và chuyển giao tài sản nhà nước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đã có quyết định tịch thu sung quỹ nhà nước trước thời điểm Thông tư này có hiệu lực thì việc quản lý số tiền thu được từ xử lý tang vật, phương tiện vi phạm hành chính thực hiện theo các quy định tại thời điểm ra quyết định tịch thu sung quỹ nhà nước; không áp dụng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nếu phát sinh vướng mắc, đề nghị các cơ quan, tổ chức, đơn vị phản ánh kịp thời về Bộ Tài chính để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0-tt-btc-cua-bo-tai-chinh---huong-dan-viec-xu-ly-tang-vat-vi-pham-hanh-chinh-la-hang-hoa--vat-pham-de-bi-hu-hong-va-quan-ly-so-tien-thu-duoc-tu-xu-ly-tang-vat--phuong-tien-tich-thu-s.aspx" TargetMode="External" /><Relationship Id="rId4" Type="http://schemas.openxmlformats.org/officeDocument/2006/relationships/hyperlink" Target="/nghi-dinh-so-128-2008-nd-cp-ve-viec-quy-dinh-chi-tiet-mot-so-dieu-cua-phap-lenh-xu-ly-vi-pham-hanh-chinh.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thong-tu-72-2004-tt-btc.aspx" TargetMode="External" /><Relationship Id="rId8" Type="http://schemas.openxmlformats.org/officeDocument/2006/relationships/hyperlink" Target="/thong-tu-34-2005-tt-btc-huong-dan-xac-dinh-gia-khoi-diem-chuyen-giao-tai-san-nha-nuoc-ban-dau-gia.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2022-06-21T12:46:45Z</dcterms:created>
  <dcterms:modified xsi:type="dcterms:W3CDTF">2022-06-21T12:46:45Z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2022-06-21T12:46:45Z</dcterms:created>
  <dcterms:modified xsi:type="dcterms:W3CDTF">2022-06-21T12:46:45Z</dcterms:modified>
</cp:coreProperties>
</file>