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20" w:rightFromText="45" w:vertAnchor="text"/>
        <w:tblW w:w="2082" w:type="pct"/>
        <w:shd w:val="clear" w:color="auto" w:fill="FFFFFF"/>
        <w:tblCellMar>
          <w:left w:w="0" w:type="dxa"/>
          <w:right w:w="0" w:type="dxa"/>
        </w:tblCellMar>
        <w:tblLook w:val="04A0" w:firstRow="1" w:lastRow="0" w:firstColumn="1" w:lastColumn="0" w:noHBand="0" w:noVBand="1"/>
      </w:tblPr>
      <w:tblGrid>
        <w:gridCol w:w="3898"/>
      </w:tblGrid>
      <w:tr w:rsidR="000D00FF" w:rsidRPr="0061129E" w:rsidTr="0061129E">
        <w:trPr>
          <w:trHeight w:val="926"/>
        </w:trPr>
        <w:tc>
          <w:tcPr>
            <w:tcW w:w="5000" w:type="pct"/>
            <w:tcBorders>
              <w:top w:val="nil"/>
              <w:left w:val="nil"/>
              <w:bottom w:val="nil"/>
              <w:right w:val="nil"/>
            </w:tcBorders>
            <w:shd w:val="clear" w:color="auto" w:fill="FFFFFF"/>
            <w:vAlign w:val="bottom"/>
            <w:hideMark/>
          </w:tcPr>
          <w:p w:rsidR="000D00FF" w:rsidRPr="0061129E" w:rsidRDefault="000D00FF" w:rsidP="000D00FF">
            <w:pPr>
              <w:spacing w:after="0" w:line="240" w:lineRule="auto"/>
              <w:jc w:val="center"/>
              <w:textAlignment w:val="baseline"/>
              <w:rPr>
                <w:rFonts w:ascii="Arial" w:eastAsia="Times New Roman" w:hAnsi="Arial" w:cs="Arial"/>
                <w:color w:val="000000"/>
                <w:sz w:val="22"/>
              </w:rPr>
            </w:pPr>
            <w:r w:rsidRPr="0061129E">
              <w:rPr>
                <w:rFonts w:ascii="Arial" w:eastAsia="Times New Roman" w:hAnsi="Arial" w:cs="Arial"/>
                <w:bCs/>
                <w:color w:val="000000"/>
                <w:sz w:val="22"/>
                <w:bdr w:val="none" w:sz="0" w:space="0" w:color="auto" w:frame="1"/>
              </w:rPr>
              <w:t>BỘ TÀI CHÍNH-BỘ TƯ PHÁP</w:t>
            </w:r>
          </w:p>
          <w:p w:rsidR="000D00FF" w:rsidRPr="0061129E" w:rsidRDefault="000D00FF" w:rsidP="000D00FF">
            <w:pPr>
              <w:spacing w:after="0" w:line="240" w:lineRule="auto"/>
              <w:jc w:val="center"/>
              <w:textAlignment w:val="baseline"/>
              <w:rPr>
                <w:rFonts w:ascii="Arial" w:eastAsia="Times New Roman" w:hAnsi="Arial" w:cs="Arial"/>
                <w:color w:val="000000"/>
                <w:sz w:val="22"/>
              </w:rPr>
            </w:pPr>
            <w:r w:rsidRPr="0061129E">
              <w:rPr>
                <w:rFonts w:ascii="Arial" w:eastAsia="Times New Roman" w:hAnsi="Arial" w:cs="Arial"/>
                <w:color w:val="000000"/>
                <w:sz w:val="22"/>
              </w:rPr>
              <w:t>Số: 191/2014/TTLT-BTC-BTP</w:t>
            </w:r>
          </w:p>
        </w:tc>
      </w:tr>
    </w:tbl>
    <w:tbl>
      <w:tblPr>
        <w:tblpPr w:leftFromText="45" w:rightFromText="45" w:vertAnchor="text" w:tblpXSpec="right" w:tblpYSpec="center"/>
        <w:tblW w:w="2000" w:type="pct"/>
        <w:shd w:val="clear" w:color="auto" w:fill="FFFFFF"/>
        <w:tblCellMar>
          <w:left w:w="0" w:type="dxa"/>
          <w:right w:w="0" w:type="dxa"/>
        </w:tblCellMar>
        <w:tblLook w:val="04A0" w:firstRow="1" w:lastRow="0" w:firstColumn="1" w:lastColumn="0" w:noHBand="0" w:noVBand="1"/>
      </w:tblPr>
      <w:tblGrid>
        <w:gridCol w:w="3744"/>
      </w:tblGrid>
      <w:tr w:rsidR="000D00FF" w:rsidRPr="0061129E" w:rsidTr="000D00FF">
        <w:tc>
          <w:tcPr>
            <w:tcW w:w="0" w:type="auto"/>
            <w:tcBorders>
              <w:top w:val="nil"/>
              <w:left w:val="nil"/>
              <w:bottom w:val="nil"/>
              <w:right w:val="nil"/>
            </w:tcBorders>
            <w:shd w:val="clear" w:color="auto" w:fill="FFFFFF"/>
            <w:vAlign w:val="bottom"/>
            <w:hideMark/>
          </w:tcPr>
          <w:p w:rsidR="000D00FF" w:rsidRPr="0061129E" w:rsidRDefault="000D00FF" w:rsidP="00C748D5">
            <w:pPr>
              <w:spacing w:after="0" w:line="240" w:lineRule="auto"/>
              <w:jc w:val="center"/>
              <w:textAlignment w:val="baseline"/>
              <w:rPr>
                <w:rFonts w:ascii="Arial" w:eastAsia="Times New Roman" w:hAnsi="Arial" w:cs="Arial"/>
                <w:color w:val="000000"/>
                <w:sz w:val="22"/>
              </w:rPr>
            </w:pPr>
            <w:r w:rsidRPr="0061129E">
              <w:rPr>
                <w:rFonts w:ascii="Arial" w:eastAsia="Times New Roman" w:hAnsi="Arial" w:cs="Arial"/>
                <w:bCs/>
                <w:color w:val="000000"/>
                <w:sz w:val="22"/>
                <w:bdr w:val="none" w:sz="0" w:space="0" w:color="auto" w:frame="1"/>
              </w:rPr>
              <w:t>CỘNG HOÀ XÃ HỘI CHỦ NGHĨA VIỆT NAM</w:t>
            </w:r>
          </w:p>
          <w:p w:rsidR="000D00FF" w:rsidRPr="0061129E" w:rsidRDefault="000D00FF" w:rsidP="000D00FF">
            <w:pPr>
              <w:spacing w:after="0" w:line="240" w:lineRule="auto"/>
              <w:jc w:val="center"/>
              <w:textAlignment w:val="baseline"/>
              <w:rPr>
                <w:rFonts w:ascii="Arial" w:eastAsia="Times New Roman" w:hAnsi="Arial" w:cs="Arial"/>
                <w:color w:val="000000"/>
                <w:sz w:val="22"/>
              </w:rPr>
            </w:pPr>
            <w:r w:rsidRPr="0061129E">
              <w:rPr>
                <w:rFonts w:ascii="Arial" w:eastAsia="Times New Roman" w:hAnsi="Arial" w:cs="Arial"/>
                <w:bCs/>
                <w:color w:val="000000"/>
                <w:sz w:val="22"/>
                <w:bdr w:val="none" w:sz="0" w:space="0" w:color="auto" w:frame="1"/>
              </w:rPr>
              <w:t>Độc lập - Tự</w:t>
            </w:r>
            <w:bookmarkStart w:id="0" w:name="_GoBack"/>
            <w:bookmarkEnd w:id="0"/>
            <w:r w:rsidRPr="0061129E">
              <w:rPr>
                <w:rFonts w:ascii="Arial" w:eastAsia="Times New Roman" w:hAnsi="Arial" w:cs="Arial"/>
                <w:bCs/>
                <w:color w:val="000000"/>
                <w:sz w:val="22"/>
                <w:bdr w:val="none" w:sz="0" w:space="0" w:color="auto" w:frame="1"/>
              </w:rPr>
              <w:t xml:space="preserve"> do - Hạnh phúc</w:t>
            </w:r>
          </w:p>
          <w:p w:rsidR="000D00FF" w:rsidRPr="0061129E" w:rsidRDefault="000D00FF" w:rsidP="000D00FF">
            <w:pPr>
              <w:spacing w:after="0" w:line="240" w:lineRule="auto"/>
              <w:jc w:val="center"/>
              <w:textAlignment w:val="baseline"/>
              <w:rPr>
                <w:rFonts w:ascii="Arial" w:eastAsia="Times New Roman" w:hAnsi="Arial" w:cs="Arial"/>
                <w:color w:val="000000"/>
                <w:sz w:val="22"/>
              </w:rPr>
            </w:pPr>
            <w:r w:rsidRPr="0061129E">
              <w:rPr>
                <w:rFonts w:ascii="Arial" w:eastAsia="Times New Roman" w:hAnsi="Arial" w:cs="Arial"/>
                <w:iCs/>
                <w:color w:val="000000"/>
                <w:sz w:val="22"/>
                <w:bdr w:val="none" w:sz="0" w:space="0" w:color="auto" w:frame="1"/>
              </w:rPr>
              <w:t>Hà Nội, ngày 12 tháng 12 năm 2014</w:t>
            </w:r>
          </w:p>
        </w:tc>
      </w:tr>
    </w:tbl>
    <w:p w:rsidR="000D00FF" w:rsidRDefault="000D00FF" w:rsidP="000D00FF">
      <w:pPr>
        <w:shd w:val="clear" w:color="auto" w:fill="FFFFFF"/>
        <w:spacing w:after="0" w:line="320" w:lineRule="atLeast"/>
        <w:jc w:val="center"/>
        <w:textAlignment w:val="baseline"/>
        <w:rPr>
          <w:rFonts w:ascii="Arial" w:eastAsia="Times New Roman" w:hAnsi="Arial" w:cs="Arial"/>
          <w:bCs/>
          <w:color w:val="000000"/>
          <w:sz w:val="24"/>
          <w:szCs w:val="24"/>
        </w:rPr>
      </w:pPr>
    </w:p>
    <w:p w:rsidR="000D00FF" w:rsidRDefault="000D00FF" w:rsidP="000D00FF">
      <w:pPr>
        <w:shd w:val="clear" w:color="auto" w:fill="FFFFFF"/>
        <w:spacing w:after="0" w:line="320" w:lineRule="atLeast"/>
        <w:jc w:val="center"/>
        <w:textAlignment w:val="baseline"/>
        <w:rPr>
          <w:rFonts w:ascii="Arial" w:eastAsia="Times New Roman" w:hAnsi="Arial" w:cs="Arial"/>
          <w:bCs/>
          <w:color w:val="000000"/>
          <w:sz w:val="24"/>
          <w:szCs w:val="24"/>
        </w:rPr>
      </w:pPr>
    </w:p>
    <w:p w:rsidR="000D00FF" w:rsidRDefault="000D00FF" w:rsidP="000D00FF">
      <w:pPr>
        <w:shd w:val="clear" w:color="auto" w:fill="FFFFFF"/>
        <w:spacing w:after="0" w:line="320" w:lineRule="atLeast"/>
        <w:jc w:val="center"/>
        <w:textAlignment w:val="baseline"/>
        <w:rPr>
          <w:rFonts w:ascii="Arial" w:eastAsia="Times New Roman" w:hAnsi="Arial" w:cs="Arial"/>
          <w:bCs/>
          <w:color w:val="000000"/>
          <w:sz w:val="24"/>
          <w:szCs w:val="24"/>
        </w:rPr>
      </w:pPr>
    </w:p>
    <w:p w:rsidR="000D00FF" w:rsidRDefault="000D00FF" w:rsidP="000D00FF">
      <w:pPr>
        <w:shd w:val="clear" w:color="auto" w:fill="FFFFFF"/>
        <w:spacing w:after="0" w:line="320" w:lineRule="atLeast"/>
        <w:jc w:val="center"/>
        <w:textAlignment w:val="baseline"/>
        <w:rPr>
          <w:rFonts w:ascii="Arial" w:eastAsia="Times New Roman" w:hAnsi="Arial" w:cs="Arial"/>
          <w:bCs/>
          <w:color w:val="000000"/>
          <w:sz w:val="24"/>
          <w:szCs w:val="24"/>
        </w:rPr>
      </w:pPr>
    </w:p>
    <w:p w:rsidR="000D00FF" w:rsidRDefault="000D00FF" w:rsidP="000D00FF">
      <w:pPr>
        <w:shd w:val="clear" w:color="auto" w:fill="FFFFFF"/>
        <w:spacing w:after="0" w:line="320" w:lineRule="atLeast"/>
        <w:jc w:val="center"/>
        <w:textAlignment w:val="baseline"/>
        <w:rPr>
          <w:rFonts w:ascii="Arial" w:eastAsia="Times New Roman" w:hAnsi="Arial" w:cs="Arial"/>
          <w:bCs/>
          <w:color w:val="000000"/>
          <w:sz w:val="24"/>
          <w:szCs w:val="24"/>
        </w:rPr>
      </w:pPr>
    </w:p>
    <w:p w:rsidR="000D00FF" w:rsidRDefault="000D00FF" w:rsidP="000D00FF">
      <w:pPr>
        <w:shd w:val="clear" w:color="auto" w:fill="FFFFFF"/>
        <w:spacing w:after="0" w:line="320" w:lineRule="atLeast"/>
        <w:jc w:val="center"/>
        <w:textAlignment w:val="baseline"/>
        <w:rPr>
          <w:rFonts w:ascii="Arial" w:eastAsia="Times New Roman" w:hAnsi="Arial" w:cs="Arial"/>
          <w:bCs/>
          <w:color w:val="000000"/>
          <w:sz w:val="24"/>
          <w:szCs w:val="24"/>
        </w:rPr>
      </w:pPr>
    </w:p>
    <w:p w:rsidR="000D00FF" w:rsidRDefault="000D00FF" w:rsidP="000D00FF">
      <w:pPr>
        <w:shd w:val="clear" w:color="auto" w:fill="FFFFFF"/>
        <w:spacing w:after="0" w:line="320" w:lineRule="atLeast"/>
        <w:jc w:val="center"/>
        <w:textAlignment w:val="baseline"/>
        <w:rPr>
          <w:rFonts w:ascii="Arial" w:eastAsia="Times New Roman" w:hAnsi="Arial" w:cs="Arial"/>
          <w:bCs/>
          <w:color w:val="000000"/>
          <w:sz w:val="24"/>
          <w:szCs w:val="24"/>
        </w:rPr>
      </w:pPr>
    </w:p>
    <w:p w:rsidR="000D00FF" w:rsidRDefault="000D00FF" w:rsidP="000D00FF">
      <w:pPr>
        <w:shd w:val="clear" w:color="auto" w:fill="FFFFFF"/>
        <w:spacing w:after="0" w:line="320" w:lineRule="atLeast"/>
        <w:jc w:val="center"/>
        <w:textAlignment w:val="baseline"/>
        <w:rPr>
          <w:rFonts w:ascii="Arial" w:eastAsia="Times New Roman" w:hAnsi="Arial" w:cs="Arial"/>
          <w:bCs/>
          <w:color w:val="000000"/>
          <w:sz w:val="24"/>
          <w:szCs w:val="24"/>
        </w:rPr>
      </w:pPr>
    </w:p>
    <w:p w:rsidR="000D00FF" w:rsidRDefault="000D00FF" w:rsidP="000D00FF">
      <w:pPr>
        <w:shd w:val="clear" w:color="auto" w:fill="FFFFFF"/>
        <w:spacing w:after="0" w:line="320" w:lineRule="atLeast"/>
        <w:jc w:val="center"/>
        <w:textAlignment w:val="baseline"/>
        <w:rPr>
          <w:rFonts w:ascii="Arial" w:eastAsia="Times New Roman" w:hAnsi="Arial" w:cs="Arial"/>
          <w:bCs/>
          <w:color w:val="000000"/>
          <w:sz w:val="24"/>
          <w:szCs w:val="24"/>
        </w:rPr>
      </w:pPr>
    </w:p>
    <w:p w:rsidR="000D00FF" w:rsidRPr="000D00FF" w:rsidRDefault="000D00FF" w:rsidP="000D00FF">
      <w:pPr>
        <w:shd w:val="clear" w:color="auto" w:fill="FFFFFF"/>
        <w:spacing w:after="0" w:line="320" w:lineRule="atLeast"/>
        <w:jc w:val="center"/>
        <w:textAlignment w:val="baseline"/>
        <w:rPr>
          <w:rFonts w:ascii="Arial" w:eastAsia="Times New Roman" w:hAnsi="Arial" w:cs="Arial"/>
          <w:b/>
          <w:color w:val="000000"/>
          <w:sz w:val="24"/>
          <w:szCs w:val="24"/>
        </w:rPr>
      </w:pPr>
      <w:r w:rsidRPr="000D00FF">
        <w:rPr>
          <w:rFonts w:ascii="Arial" w:eastAsia="Times New Roman" w:hAnsi="Arial" w:cs="Arial"/>
          <w:b/>
          <w:bCs/>
          <w:color w:val="000000"/>
          <w:sz w:val="24"/>
          <w:szCs w:val="24"/>
        </w:rPr>
        <w:t>THÔNG TƯ LIÊN TỊCH</w:t>
      </w:r>
    </w:p>
    <w:p w:rsidR="000D00FF" w:rsidRPr="000D00FF" w:rsidRDefault="000D00FF" w:rsidP="000D00FF">
      <w:pPr>
        <w:shd w:val="clear" w:color="auto" w:fill="FFFFFF"/>
        <w:spacing w:after="0" w:line="320" w:lineRule="atLeast"/>
        <w:jc w:val="center"/>
        <w:textAlignment w:val="baseline"/>
        <w:rPr>
          <w:rFonts w:ascii="Arial" w:eastAsia="Times New Roman" w:hAnsi="Arial" w:cs="Arial"/>
          <w:b/>
          <w:color w:val="000000"/>
          <w:sz w:val="24"/>
          <w:szCs w:val="24"/>
        </w:rPr>
      </w:pPr>
      <w:r w:rsidRPr="000D00FF">
        <w:rPr>
          <w:rFonts w:ascii="Arial" w:eastAsia="Times New Roman" w:hAnsi="Arial" w:cs="Arial"/>
          <w:b/>
          <w:bCs/>
          <w:color w:val="000000"/>
          <w:sz w:val="24"/>
          <w:szCs w:val="24"/>
        </w:rPr>
        <w:t xml:space="preserve">Hướng dẫn về thù </w:t>
      </w:r>
      <w:proofErr w:type="gramStart"/>
      <w:r w:rsidRPr="000D00FF">
        <w:rPr>
          <w:rFonts w:ascii="Arial" w:eastAsia="Times New Roman" w:hAnsi="Arial" w:cs="Arial"/>
          <w:b/>
          <w:bCs/>
          <w:color w:val="000000"/>
          <w:sz w:val="24"/>
          <w:szCs w:val="24"/>
        </w:rPr>
        <w:t>lao</w:t>
      </w:r>
      <w:proofErr w:type="gramEnd"/>
      <w:r w:rsidRPr="000D00FF">
        <w:rPr>
          <w:rFonts w:ascii="Arial" w:eastAsia="Times New Roman" w:hAnsi="Arial" w:cs="Arial"/>
          <w:b/>
          <w:bCs/>
          <w:color w:val="000000"/>
          <w:sz w:val="24"/>
          <w:szCs w:val="24"/>
        </w:rPr>
        <w:t xml:space="preserve"> và thanh toán chi phí cho luật sư trong trường hợp</w:t>
      </w:r>
    </w:p>
    <w:p w:rsidR="000D00FF" w:rsidRPr="000D00FF" w:rsidRDefault="000D00FF" w:rsidP="000D00FF">
      <w:pPr>
        <w:shd w:val="clear" w:color="auto" w:fill="FFFFFF"/>
        <w:spacing w:after="0" w:line="320" w:lineRule="atLeast"/>
        <w:jc w:val="center"/>
        <w:textAlignment w:val="baseline"/>
        <w:rPr>
          <w:rFonts w:ascii="Arial" w:eastAsia="Times New Roman" w:hAnsi="Arial" w:cs="Arial"/>
          <w:b/>
          <w:color w:val="000000"/>
          <w:sz w:val="24"/>
          <w:szCs w:val="24"/>
        </w:rPr>
      </w:pPr>
      <w:r w:rsidRPr="000D00FF">
        <w:rPr>
          <w:rFonts w:ascii="Arial" w:eastAsia="Times New Roman" w:hAnsi="Arial" w:cs="Arial"/>
          <w:b/>
          <w:bCs/>
          <w:color w:val="000000"/>
          <w:sz w:val="24"/>
          <w:szCs w:val="24"/>
        </w:rPr>
        <w:t> </w:t>
      </w:r>
      <w:proofErr w:type="gramStart"/>
      <w:r w:rsidRPr="000D00FF">
        <w:rPr>
          <w:rFonts w:ascii="Arial" w:eastAsia="Times New Roman" w:hAnsi="Arial" w:cs="Arial"/>
          <w:b/>
          <w:bCs/>
          <w:color w:val="000000"/>
          <w:sz w:val="24"/>
          <w:szCs w:val="24"/>
        </w:rPr>
        <w:t>luật</w:t>
      </w:r>
      <w:proofErr w:type="gramEnd"/>
      <w:r w:rsidRPr="000D00FF">
        <w:rPr>
          <w:rFonts w:ascii="Arial" w:eastAsia="Times New Roman" w:hAnsi="Arial" w:cs="Arial"/>
          <w:b/>
          <w:bCs/>
          <w:color w:val="000000"/>
          <w:sz w:val="24"/>
          <w:szCs w:val="24"/>
        </w:rPr>
        <w:t xml:space="preserve"> sư tham gia tố tụng theo yêu cầu của cơ quan tiến hành tố tụng</w:t>
      </w:r>
    </w:p>
    <w:p w:rsidR="000D00FF" w:rsidRPr="000D00FF" w:rsidRDefault="000D00FF" w:rsidP="000D00FF">
      <w:pPr>
        <w:shd w:val="clear" w:color="auto" w:fill="FFFFFF"/>
        <w:spacing w:after="0" w:line="320" w:lineRule="atLeast"/>
        <w:jc w:val="center"/>
        <w:textAlignment w:val="baseline"/>
        <w:rPr>
          <w:rFonts w:ascii="Arial" w:eastAsia="Times New Roman" w:hAnsi="Arial" w:cs="Arial"/>
          <w:color w:val="000000"/>
          <w:sz w:val="24"/>
          <w:szCs w:val="24"/>
        </w:rPr>
      </w:pPr>
      <w:r w:rsidRPr="000D00FF">
        <w:rPr>
          <w:rFonts w:ascii="Arial" w:eastAsia="Times New Roman" w:hAnsi="Arial" w:cs="Arial"/>
          <w:color w:val="000000"/>
          <w:sz w:val="24"/>
          <w:szCs w:val="24"/>
        </w:rPr>
        <w:t>______________________</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r w:rsidRPr="000D00FF">
        <w:rPr>
          <w:rFonts w:ascii="Arial" w:eastAsia="Times New Roman" w:hAnsi="Arial" w:cs="Arial"/>
          <w:color w:val="000000"/>
          <w:sz w:val="24"/>
          <w:szCs w:val="24"/>
        </w:rPr>
        <w:t> </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themeColor="text1"/>
          <w:sz w:val="24"/>
          <w:szCs w:val="24"/>
        </w:rPr>
      </w:pPr>
      <w:r w:rsidRPr="000D00FF">
        <w:rPr>
          <w:rFonts w:ascii="Arial" w:eastAsia="Times New Roman" w:hAnsi="Arial" w:cs="Arial"/>
          <w:iCs/>
          <w:color w:val="000000" w:themeColor="text1"/>
          <w:sz w:val="24"/>
          <w:szCs w:val="24"/>
        </w:rPr>
        <w:t>Căn cứ Nghị định số </w:t>
      </w:r>
      <w:r w:rsidRPr="000D00FF">
        <w:rPr>
          <w:rFonts w:ascii="Arial" w:eastAsia="Times New Roman" w:hAnsi="Arial" w:cs="Arial"/>
          <w:color w:val="000000" w:themeColor="text1"/>
          <w:sz w:val="24"/>
          <w:szCs w:val="24"/>
        </w:rPr>
        <w:t>60/2003/NĐ-CP</w:t>
      </w:r>
      <w:r w:rsidRPr="000D00FF">
        <w:rPr>
          <w:rFonts w:ascii="Arial" w:eastAsia="Times New Roman" w:hAnsi="Arial" w:cs="Arial"/>
          <w:iCs/>
          <w:color w:val="000000" w:themeColor="text1"/>
          <w:sz w:val="24"/>
          <w:szCs w:val="24"/>
        </w:rPr>
        <w:t> ngày 06 tháng 06 năm 2003 của Chính phủ quy định chi tiết và hướng dẫn thi hành Luật Ngân sách Nhà nước;</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themeColor="text1"/>
          <w:sz w:val="24"/>
          <w:szCs w:val="24"/>
        </w:rPr>
      </w:pPr>
      <w:r w:rsidRPr="000D00FF">
        <w:rPr>
          <w:rFonts w:ascii="Arial" w:eastAsia="Times New Roman" w:hAnsi="Arial" w:cs="Arial"/>
          <w:iCs/>
          <w:color w:val="000000" w:themeColor="text1"/>
          <w:sz w:val="24"/>
          <w:szCs w:val="24"/>
        </w:rPr>
        <w:t>Căn cứ Nghị định số </w:t>
      </w:r>
      <w:r w:rsidRPr="000D00FF">
        <w:rPr>
          <w:rFonts w:ascii="Arial" w:eastAsia="Times New Roman" w:hAnsi="Arial" w:cs="Arial"/>
          <w:color w:val="000000" w:themeColor="text1"/>
          <w:sz w:val="24"/>
          <w:szCs w:val="24"/>
        </w:rPr>
        <w:t>215/2013/NĐ-CP</w:t>
      </w:r>
      <w:r w:rsidRPr="000D00FF">
        <w:rPr>
          <w:rFonts w:ascii="Arial" w:eastAsia="Times New Roman" w:hAnsi="Arial" w:cs="Arial"/>
          <w:iCs/>
          <w:color w:val="000000" w:themeColor="text1"/>
          <w:sz w:val="24"/>
          <w:szCs w:val="24"/>
        </w:rPr>
        <w:t> ngày 23 tháng 12 năm 2013 của Chính phủ quy định chức năng, nhiệm vụ, quyền hạn và cơ cấu tổ chức của Bộ Tài chính;</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themeColor="text1"/>
          <w:sz w:val="24"/>
          <w:szCs w:val="24"/>
        </w:rPr>
      </w:pPr>
      <w:r w:rsidRPr="000D00FF">
        <w:rPr>
          <w:rFonts w:ascii="Arial" w:eastAsia="Times New Roman" w:hAnsi="Arial" w:cs="Arial"/>
          <w:iCs/>
          <w:color w:val="000000" w:themeColor="text1"/>
          <w:sz w:val="24"/>
          <w:szCs w:val="24"/>
        </w:rPr>
        <w:t>Căn cứ Nghị định số </w:t>
      </w:r>
      <w:r w:rsidRPr="000D00FF">
        <w:rPr>
          <w:rFonts w:ascii="Arial" w:eastAsia="Times New Roman" w:hAnsi="Arial" w:cs="Arial"/>
          <w:color w:val="000000" w:themeColor="text1"/>
          <w:sz w:val="24"/>
          <w:szCs w:val="24"/>
        </w:rPr>
        <w:t>22/2013/NĐ-CP</w:t>
      </w:r>
      <w:r w:rsidRPr="000D00FF">
        <w:rPr>
          <w:rFonts w:ascii="Arial" w:eastAsia="Times New Roman" w:hAnsi="Arial" w:cs="Arial"/>
          <w:iCs/>
          <w:color w:val="000000" w:themeColor="text1"/>
          <w:sz w:val="24"/>
          <w:szCs w:val="24"/>
        </w:rPr>
        <w:t> ngày 13 tháng 3 năm 2013 của Chính phủ quy định chức năng, nhiệm vụ, quyền hạn và cơ cấu tổ chức của Bộ Tư pháp;</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r w:rsidRPr="000D00FF">
        <w:rPr>
          <w:rFonts w:ascii="Arial" w:eastAsia="Times New Roman" w:hAnsi="Arial" w:cs="Arial"/>
          <w:iCs/>
          <w:color w:val="000000" w:themeColor="text1"/>
          <w:sz w:val="24"/>
          <w:szCs w:val="24"/>
        </w:rPr>
        <w:t>Căn cứ Nghị định số </w:t>
      </w:r>
      <w:r w:rsidRPr="000D00FF">
        <w:rPr>
          <w:rFonts w:ascii="Arial" w:eastAsia="Times New Roman" w:hAnsi="Arial" w:cs="Arial"/>
          <w:color w:val="000000" w:themeColor="text1"/>
          <w:sz w:val="24"/>
          <w:szCs w:val="24"/>
        </w:rPr>
        <w:t>123/2013/NĐ-CP</w:t>
      </w:r>
      <w:r w:rsidRPr="000D00FF">
        <w:rPr>
          <w:rFonts w:ascii="Arial" w:eastAsia="Times New Roman" w:hAnsi="Arial" w:cs="Arial"/>
          <w:iCs/>
          <w:color w:val="000000" w:themeColor="text1"/>
          <w:sz w:val="24"/>
          <w:szCs w:val="24"/>
        </w:rPr>
        <w:t> ngày 14 tháng 10 năm 2013</w:t>
      </w:r>
      <w:r w:rsidRPr="000D00FF">
        <w:rPr>
          <w:rFonts w:ascii="Arial" w:eastAsia="Times New Roman" w:hAnsi="Arial" w:cs="Arial"/>
          <w:iCs/>
          <w:color w:val="000000"/>
          <w:sz w:val="24"/>
          <w:szCs w:val="24"/>
        </w:rPr>
        <w:t xml:space="preserve"> của Chính phủ quy định chi tiết một số điều và biện pháp thi hành Luật </w:t>
      </w:r>
      <w:proofErr w:type="spellStart"/>
      <w:r w:rsidRPr="000D00FF">
        <w:rPr>
          <w:rFonts w:ascii="Arial" w:eastAsia="Times New Roman" w:hAnsi="Arial" w:cs="Arial"/>
          <w:iCs/>
          <w:color w:val="000000"/>
          <w:sz w:val="24"/>
          <w:szCs w:val="24"/>
        </w:rPr>
        <w:t>Luật</w:t>
      </w:r>
      <w:proofErr w:type="spellEnd"/>
      <w:r w:rsidRPr="000D00FF">
        <w:rPr>
          <w:rFonts w:ascii="Arial" w:eastAsia="Times New Roman" w:hAnsi="Arial" w:cs="Arial"/>
          <w:iCs/>
          <w:color w:val="000000"/>
          <w:sz w:val="24"/>
          <w:szCs w:val="24"/>
        </w:rPr>
        <w:t xml:space="preserve"> sư;</w:t>
      </w:r>
    </w:p>
    <w:p w:rsidR="000D00FF" w:rsidRDefault="000D00FF" w:rsidP="000D00FF">
      <w:pPr>
        <w:shd w:val="clear" w:color="auto" w:fill="FFFFFF"/>
        <w:spacing w:after="0" w:line="320" w:lineRule="atLeast"/>
        <w:jc w:val="both"/>
        <w:textAlignment w:val="baseline"/>
        <w:rPr>
          <w:rFonts w:ascii="Arial" w:eastAsia="Times New Roman" w:hAnsi="Arial" w:cs="Arial"/>
          <w:iCs/>
          <w:color w:val="000000"/>
          <w:sz w:val="24"/>
          <w:szCs w:val="24"/>
        </w:rPr>
      </w:pPr>
      <w:r w:rsidRPr="000D00FF">
        <w:rPr>
          <w:rFonts w:ascii="Arial" w:eastAsia="Times New Roman" w:hAnsi="Arial" w:cs="Arial"/>
          <w:iCs/>
          <w:color w:val="000000"/>
          <w:sz w:val="24"/>
          <w:szCs w:val="24"/>
        </w:rPr>
        <w:t>Bộ trưởng Bộ Tài chính, Bộ trưởng Bộ Tư pháp ban hành Thông tư liên tịch hướng dẫn về thù lao và thanh toán chi phí cho luật sư trong trường hợp luật sư tham gia tố tụng theo yêu cầu của cơ quan tiến hành tố tụng.</w:t>
      </w:r>
    </w:p>
    <w:p w:rsidR="000D00FF" w:rsidRDefault="000D00FF" w:rsidP="000D00FF">
      <w:pPr>
        <w:shd w:val="clear" w:color="auto" w:fill="FFFFFF"/>
        <w:spacing w:after="0" w:line="320" w:lineRule="atLeast"/>
        <w:jc w:val="both"/>
        <w:textAlignment w:val="baseline"/>
        <w:rPr>
          <w:rFonts w:ascii="Arial" w:eastAsia="Times New Roman" w:hAnsi="Arial" w:cs="Arial"/>
          <w:iCs/>
          <w:color w:val="000000"/>
          <w:sz w:val="24"/>
          <w:szCs w:val="24"/>
        </w:rPr>
      </w:pPr>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proofErr w:type="gramStart"/>
      <w:r w:rsidRPr="000D00FF">
        <w:rPr>
          <w:rFonts w:ascii="Arial" w:eastAsia="Times New Roman" w:hAnsi="Arial" w:cs="Arial"/>
          <w:b/>
          <w:bCs/>
          <w:color w:val="000000"/>
          <w:sz w:val="24"/>
          <w:szCs w:val="24"/>
        </w:rPr>
        <w:t>Điều </w:t>
      </w:r>
      <w:bookmarkStart w:id="1" w:name="Dieu_1"/>
      <w:bookmarkEnd w:id="1"/>
      <w:r w:rsidRPr="000D00FF">
        <w:rPr>
          <w:rFonts w:ascii="Arial" w:eastAsia="Times New Roman" w:hAnsi="Arial" w:cs="Arial"/>
          <w:b/>
          <w:bCs/>
          <w:color w:val="000000"/>
          <w:sz w:val="24"/>
          <w:szCs w:val="24"/>
        </w:rPr>
        <w:t>1.</w:t>
      </w:r>
      <w:proofErr w:type="gramEnd"/>
      <w:r w:rsidRPr="000D00FF">
        <w:rPr>
          <w:rFonts w:ascii="Arial" w:eastAsia="Times New Roman" w:hAnsi="Arial" w:cs="Arial"/>
          <w:bCs/>
          <w:color w:val="000000"/>
          <w:sz w:val="24"/>
          <w:szCs w:val="24"/>
        </w:rPr>
        <w:t xml:space="preserve"> Phạm </w:t>
      </w:r>
      <w:proofErr w:type="gramStart"/>
      <w:r w:rsidRPr="000D00FF">
        <w:rPr>
          <w:rFonts w:ascii="Arial" w:eastAsia="Times New Roman" w:hAnsi="Arial" w:cs="Arial"/>
          <w:bCs/>
          <w:color w:val="000000"/>
          <w:sz w:val="24"/>
          <w:szCs w:val="24"/>
        </w:rPr>
        <w:t>vi</w:t>
      </w:r>
      <w:proofErr w:type="gramEnd"/>
      <w:r w:rsidRPr="000D00FF">
        <w:rPr>
          <w:rFonts w:ascii="Arial" w:eastAsia="Times New Roman" w:hAnsi="Arial" w:cs="Arial"/>
          <w:bCs/>
          <w:color w:val="000000"/>
          <w:sz w:val="24"/>
          <w:szCs w:val="24"/>
        </w:rPr>
        <w:t xml:space="preserve"> điều chỉnh và đối tượng áp dụng</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r w:rsidRPr="000D00FF">
        <w:rPr>
          <w:rFonts w:ascii="Arial" w:eastAsia="Times New Roman" w:hAnsi="Arial" w:cs="Arial"/>
          <w:color w:val="000000"/>
          <w:sz w:val="24"/>
          <w:szCs w:val="24"/>
        </w:rPr>
        <w:t xml:space="preserve">1. Thông tư hướng dẫn về thanh toán thù </w:t>
      </w:r>
      <w:proofErr w:type="gramStart"/>
      <w:r w:rsidRPr="000D00FF">
        <w:rPr>
          <w:rFonts w:ascii="Arial" w:eastAsia="Times New Roman" w:hAnsi="Arial" w:cs="Arial"/>
          <w:color w:val="000000"/>
          <w:sz w:val="24"/>
          <w:szCs w:val="24"/>
        </w:rPr>
        <w:t>lao</w:t>
      </w:r>
      <w:proofErr w:type="gramEnd"/>
      <w:r w:rsidRPr="000D00FF">
        <w:rPr>
          <w:rFonts w:ascii="Arial" w:eastAsia="Times New Roman" w:hAnsi="Arial" w:cs="Arial"/>
          <w:color w:val="000000"/>
          <w:sz w:val="24"/>
          <w:szCs w:val="24"/>
        </w:rPr>
        <w:t xml:space="preserve"> và chi phí cho luật sư trong trường hợp luật sư tham gia tố tụng theo yêu cầu của cơ quan tiến hành tố tụng.</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r w:rsidRPr="000D00FF">
        <w:rPr>
          <w:rFonts w:ascii="Arial" w:eastAsia="Times New Roman" w:hAnsi="Arial" w:cs="Arial"/>
          <w:color w:val="000000"/>
          <w:sz w:val="24"/>
          <w:szCs w:val="24"/>
        </w:rPr>
        <w:t>2. Đối tượng áp dụng:</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r w:rsidRPr="000D00FF">
        <w:rPr>
          <w:rFonts w:ascii="Arial" w:eastAsia="Times New Roman" w:hAnsi="Arial" w:cs="Arial"/>
          <w:color w:val="000000"/>
          <w:sz w:val="24"/>
          <w:szCs w:val="24"/>
        </w:rPr>
        <w:t>a) Các cơ quan tiến hành tố tụng;</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r w:rsidRPr="000D00FF">
        <w:rPr>
          <w:rFonts w:ascii="Arial" w:eastAsia="Times New Roman" w:hAnsi="Arial" w:cs="Arial"/>
          <w:color w:val="000000"/>
          <w:sz w:val="24"/>
          <w:szCs w:val="24"/>
        </w:rPr>
        <w:t xml:space="preserve">b) Luật sư tham gia tố tụng </w:t>
      </w:r>
      <w:proofErr w:type="gramStart"/>
      <w:r w:rsidRPr="000D00FF">
        <w:rPr>
          <w:rFonts w:ascii="Arial" w:eastAsia="Times New Roman" w:hAnsi="Arial" w:cs="Arial"/>
          <w:color w:val="000000"/>
          <w:sz w:val="24"/>
          <w:szCs w:val="24"/>
        </w:rPr>
        <w:t>theo</w:t>
      </w:r>
      <w:proofErr w:type="gramEnd"/>
      <w:r w:rsidRPr="000D00FF">
        <w:rPr>
          <w:rFonts w:ascii="Arial" w:eastAsia="Times New Roman" w:hAnsi="Arial" w:cs="Arial"/>
          <w:color w:val="000000"/>
          <w:sz w:val="24"/>
          <w:szCs w:val="24"/>
        </w:rPr>
        <w:t xml:space="preserve"> yêu cầu của cơ quan tiến hành tố tụng;</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r w:rsidRPr="000D00FF">
        <w:rPr>
          <w:rFonts w:ascii="Arial" w:eastAsia="Times New Roman" w:hAnsi="Arial" w:cs="Arial"/>
          <w:color w:val="000000"/>
          <w:sz w:val="24"/>
          <w:szCs w:val="24"/>
        </w:rPr>
        <w:t xml:space="preserve">c) Các cơ quan, tổ chức khác có liên quan đến việc lập, quản lý, sử dụng và quyết toán kinh phí chi trả cho luật sư tham gia tố tụng </w:t>
      </w:r>
      <w:proofErr w:type="gramStart"/>
      <w:r w:rsidRPr="000D00FF">
        <w:rPr>
          <w:rFonts w:ascii="Arial" w:eastAsia="Times New Roman" w:hAnsi="Arial" w:cs="Arial"/>
          <w:color w:val="000000"/>
          <w:sz w:val="24"/>
          <w:szCs w:val="24"/>
        </w:rPr>
        <w:t>theo</w:t>
      </w:r>
      <w:proofErr w:type="gramEnd"/>
      <w:r w:rsidRPr="000D00FF">
        <w:rPr>
          <w:rFonts w:ascii="Arial" w:eastAsia="Times New Roman" w:hAnsi="Arial" w:cs="Arial"/>
          <w:color w:val="000000"/>
          <w:sz w:val="24"/>
          <w:szCs w:val="24"/>
        </w:rPr>
        <w:t xml:space="preserve"> yêu cầu của cơ quan tiến hành tố tụng.</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proofErr w:type="gramStart"/>
      <w:r w:rsidRPr="000D00FF">
        <w:rPr>
          <w:rFonts w:ascii="Arial" w:eastAsia="Times New Roman" w:hAnsi="Arial" w:cs="Arial"/>
          <w:b/>
          <w:bCs/>
          <w:color w:val="000000"/>
          <w:sz w:val="24"/>
          <w:szCs w:val="24"/>
        </w:rPr>
        <w:t>Điều </w:t>
      </w:r>
      <w:bookmarkStart w:id="2" w:name="Dieu_2"/>
      <w:bookmarkEnd w:id="2"/>
      <w:r w:rsidRPr="000D00FF">
        <w:rPr>
          <w:rFonts w:ascii="Arial" w:eastAsia="Times New Roman" w:hAnsi="Arial" w:cs="Arial"/>
          <w:b/>
          <w:bCs/>
          <w:color w:val="000000"/>
          <w:sz w:val="24"/>
          <w:szCs w:val="24"/>
        </w:rPr>
        <w:t>2</w:t>
      </w:r>
      <w:r w:rsidRPr="000D00FF">
        <w:rPr>
          <w:rFonts w:ascii="Arial" w:eastAsia="Times New Roman" w:hAnsi="Arial" w:cs="Arial"/>
          <w:bCs/>
          <w:color w:val="000000"/>
          <w:sz w:val="24"/>
          <w:szCs w:val="24"/>
        </w:rPr>
        <w:t>.</w:t>
      </w:r>
      <w:proofErr w:type="gramEnd"/>
      <w:r w:rsidRPr="000D00FF">
        <w:rPr>
          <w:rFonts w:ascii="Arial" w:eastAsia="Times New Roman" w:hAnsi="Arial" w:cs="Arial"/>
          <w:bCs/>
          <w:color w:val="000000"/>
          <w:sz w:val="24"/>
          <w:szCs w:val="24"/>
        </w:rPr>
        <w:t xml:space="preserve"> Mức thù </w:t>
      </w:r>
      <w:proofErr w:type="gramStart"/>
      <w:r w:rsidRPr="000D00FF">
        <w:rPr>
          <w:rFonts w:ascii="Arial" w:eastAsia="Times New Roman" w:hAnsi="Arial" w:cs="Arial"/>
          <w:bCs/>
          <w:color w:val="000000"/>
          <w:sz w:val="24"/>
          <w:szCs w:val="24"/>
        </w:rPr>
        <w:t>lao</w:t>
      </w:r>
      <w:proofErr w:type="gramEnd"/>
      <w:r w:rsidRPr="000D00FF">
        <w:rPr>
          <w:rFonts w:ascii="Arial" w:eastAsia="Times New Roman" w:hAnsi="Arial" w:cs="Arial"/>
          <w:bCs/>
          <w:color w:val="000000"/>
          <w:sz w:val="24"/>
          <w:szCs w:val="24"/>
        </w:rPr>
        <w:t xml:space="preserve"> và các khoản chi phí</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r w:rsidRPr="000D00FF">
        <w:rPr>
          <w:rFonts w:ascii="Arial" w:eastAsia="Times New Roman" w:hAnsi="Arial" w:cs="Arial"/>
          <w:color w:val="000000"/>
          <w:sz w:val="24"/>
          <w:szCs w:val="24"/>
        </w:rPr>
        <w:t>1. Mức thù lao chi trả cho 01 ngày làm việc của luật sư tham gia tố tụng trong vụ án do cơ quan tiến hành tố tụng yêu cầu là 0</w:t>
      </w:r>
      <w:proofErr w:type="gramStart"/>
      <w:r w:rsidRPr="000D00FF">
        <w:rPr>
          <w:rFonts w:ascii="Arial" w:eastAsia="Times New Roman" w:hAnsi="Arial" w:cs="Arial"/>
          <w:color w:val="000000"/>
          <w:sz w:val="24"/>
          <w:szCs w:val="24"/>
        </w:rPr>
        <w:t>,4</w:t>
      </w:r>
      <w:proofErr w:type="gramEnd"/>
      <w:r w:rsidRPr="000D00FF">
        <w:rPr>
          <w:rFonts w:ascii="Arial" w:eastAsia="Times New Roman" w:hAnsi="Arial" w:cs="Arial"/>
          <w:color w:val="000000"/>
          <w:sz w:val="24"/>
          <w:szCs w:val="24"/>
        </w:rPr>
        <w:t xml:space="preserve"> lần mức lương cơ sở do Chính phủ quy định. </w:t>
      </w:r>
      <w:proofErr w:type="gramStart"/>
      <w:r w:rsidRPr="000D00FF">
        <w:rPr>
          <w:rFonts w:ascii="Arial" w:eastAsia="Times New Roman" w:hAnsi="Arial" w:cs="Arial"/>
          <w:color w:val="000000"/>
          <w:sz w:val="24"/>
          <w:szCs w:val="24"/>
        </w:rPr>
        <w:t>Ngày làm việc của luật sư được tính trên cơ sở 08 giờ làm việc.</w:t>
      </w:r>
      <w:proofErr w:type="gramEnd"/>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r w:rsidRPr="000D00FF">
        <w:rPr>
          <w:rFonts w:ascii="Arial" w:eastAsia="Times New Roman" w:hAnsi="Arial" w:cs="Arial"/>
          <w:color w:val="000000"/>
          <w:sz w:val="24"/>
          <w:szCs w:val="24"/>
        </w:rPr>
        <w:lastRenderedPageBreak/>
        <w:t>Trong trường hợp, luật sư làm việc trong nhiều ngày, nhưng mỗi ngày  thực hiện không đủ 08 giờ, thì số ngày làm việc của luật sư được tính trên tổng số giờ làm việc thực tế của luật sư. Số giờ làm việc lẻ còn lại (nếu có) được tính như sau:</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proofErr w:type="gramStart"/>
      <w:r w:rsidRPr="000D00FF">
        <w:rPr>
          <w:rFonts w:ascii="Arial" w:eastAsia="Times New Roman" w:hAnsi="Arial" w:cs="Arial"/>
          <w:color w:val="000000"/>
          <w:sz w:val="24"/>
          <w:szCs w:val="24"/>
        </w:rPr>
        <w:t>Nếu số giờ làm việc lẻ không đủ 06 giờ thì tính thành ½ ngày làm việc.</w:t>
      </w:r>
      <w:proofErr w:type="gramEnd"/>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proofErr w:type="gramStart"/>
      <w:r w:rsidRPr="000D00FF">
        <w:rPr>
          <w:rFonts w:ascii="Arial" w:eastAsia="Times New Roman" w:hAnsi="Arial" w:cs="Arial"/>
          <w:color w:val="000000"/>
          <w:sz w:val="24"/>
          <w:szCs w:val="24"/>
        </w:rPr>
        <w:t>Nếu số giờ làm việc lẻ từ 06 giờ trở lên thì tính thành 01 ngày làm việc.</w:t>
      </w:r>
      <w:proofErr w:type="gramEnd"/>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r w:rsidRPr="000D00FF">
        <w:rPr>
          <w:rFonts w:ascii="Arial" w:eastAsia="Times New Roman" w:hAnsi="Arial" w:cs="Arial"/>
          <w:color w:val="000000"/>
          <w:sz w:val="24"/>
          <w:szCs w:val="24"/>
        </w:rPr>
        <w:t>2. Thời gian làm việc của luật sư được tính bao gồm:</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r w:rsidRPr="000D00FF">
        <w:rPr>
          <w:rFonts w:ascii="Arial" w:eastAsia="Times New Roman" w:hAnsi="Arial" w:cs="Arial"/>
          <w:color w:val="000000"/>
          <w:sz w:val="24"/>
          <w:szCs w:val="24"/>
        </w:rPr>
        <w:t>a) Thời gian gặp người bị bắt, tạm giữ, tạm giam, khởi tố, điều tra, truy tố, xét xử: Được xác định bằng thời gian thực tế luật sư gặp người bị bắt, tạm giữ, tạm giam, khởi tố, điều tra, truy tố, xét xử tại nhà tạm giữ, trại tạm giam, trại giam của cơ quan tiến hành tố tụng theo lịch cho phép;</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r w:rsidRPr="000D00FF">
        <w:rPr>
          <w:rFonts w:ascii="Arial" w:eastAsia="Times New Roman" w:hAnsi="Arial" w:cs="Arial"/>
          <w:color w:val="000000"/>
          <w:sz w:val="24"/>
          <w:szCs w:val="24"/>
        </w:rPr>
        <w:t>b) Thời gian thu thập tài liệu, đồ vật, tình tiết liên quan đến việc bào chữa: Được xác định căn cứ theo văn bản thoả thuận về số ngày thu thập tài liệu, đồ vật, tình tiết liên quan đến việc bào chữa giữa cơ quan tiến hành tố tụng với luật sư tuỳ theo tính chất phức tạp của từng vụ án;</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r w:rsidRPr="000D00FF">
        <w:rPr>
          <w:rFonts w:ascii="Arial" w:eastAsia="Times New Roman" w:hAnsi="Arial" w:cs="Arial"/>
          <w:color w:val="000000"/>
          <w:sz w:val="24"/>
          <w:szCs w:val="24"/>
        </w:rPr>
        <w:t xml:space="preserve">c) Thời gian nghiên cứu hồ sơ và chuẩn bị tài liệu tại cơ quan tiến hành tố tụng: Được xác định </w:t>
      </w:r>
      <w:proofErr w:type="gramStart"/>
      <w:r w:rsidRPr="000D00FF">
        <w:rPr>
          <w:rFonts w:ascii="Arial" w:eastAsia="Times New Roman" w:hAnsi="Arial" w:cs="Arial"/>
          <w:color w:val="000000"/>
          <w:sz w:val="24"/>
          <w:szCs w:val="24"/>
        </w:rPr>
        <w:t>theo</w:t>
      </w:r>
      <w:proofErr w:type="gramEnd"/>
      <w:r w:rsidRPr="000D00FF">
        <w:rPr>
          <w:rFonts w:ascii="Arial" w:eastAsia="Times New Roman" w:hAnsi="Arial" w:cs="Arial"/>
          <w:color w:val="000000"/>
          <w:sz w:val="24"/>
          <w:szCs w:val="24"/>
        </w:rPr>
        <w:t xml:space="preserve"> bảng chấm công có xác nhận của nơi luật sư đến nghiên cứu hồ sơ;</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r w:rsidRPr="000D00FF">
        <w:rPr>
          <w:rFonts w:ascii="Arial" w:eastAsia="Times New Roman" w:hAnsi="Arial" w:cs="Arial"/>
          <w:color w:val="000000"/>
          <w:sz w:val="24"/>
          <w:szCs w:val="24"/>
        </w:rPr>
        <w:t xml:space="preserve">d) Thời gian tham gia phiên </w:t>
      </w:r>
      <w:proofErr w:type="spellStart"/>
      <w:r w:rsidRPr="000D00FF">
        <w:rPr>
          <w:rFonts w:ascii="Arial" w:eastAsia="Times New Roman" w:hAnsi="Arial" w:cs="Arial"/>
          <w:color w:val="000000"/>
          <w:sz w:val="24"/>
          <w:szCs w:val="24"/>
        </w:rPr>
        <w:t>tòa</w:t>
      </w:r>
      <w:proofErr w:type="spellEnd"/>
      <w:r w:rsidRPr="000D00FF">
        <w:rPr>
          <w:rFonts w:ascii="Arial" w:eastAsia="Times New Roman" w:hAnsi="Arial" w:cs="Arial"/>
          <w:color w:val="000000"/>
          <w:sz w:val="24"/>
          <w:szCs w:val="24"/>
        </w:rPr>
        <w:t>: Được xác định theo thời gian diễn ra phiên toà xét xử; trong trường hợp phiên toà hoãn xử không phải do yêu cầu của luật sư và luật sư không được báo trước, thì cơ quan tiến hành tố tụng phải có trách nhiệm thanh toán tiền thù lao cho luật sư bằng ½ ngày làm việc của luật sư;</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r w:rsidRPr="000D00FF">
        <w:rPr>
          <w:rFonts w:ascii="Arial" w:eastAsia="Times New Roman" w:hAnsi="Arial" w:cs="Arial"/>
          <w:color w:val="000000"/>
          <w:sz w:val="24"/>
          <w:szCs w:val="24"/>
        </w:rPr>
        <w:t xml:space="preserve">đ) Thời gian hợp lý khác </w:t>
      </w:r>
      <w:proofErr w:type="gramStart"/>
      <w:r w:rsidRPr="000D00FF">
        <w:rPr>
          <w:rFonts w:ascii="Arial" w:eastAsia="Times New Roman" w:hAnsi="Arial" w:cs="Arial"/>
          <w:color w:val="000000"/>
          <w:sz w:val="24"/>
          <w:szCs w:val="24"/>
        </w:rPr>
        <w:t>theo</w:t>
      </w:r>
      <w:proofErr w:type="gramEnd"/>
      <w:r w:rsidRPr="000D00FF">
        <w:rPr>
          <w:rFonts w:ascii="Arial" w:eastAsia="Times New Roman" w:hAnsi="Arial" w:cs="Arial"/>
          <w:color w:val="000000"/>
          <w:sz w:val="24"/>
          <w:szCs w:val="24"/>
        </w:rPr>
        <w:t xml:space="preserve"> yêu cầu của cơ quan tiến hành tố tụng để thực hiện việc tham gia tố tụng.</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r w:rsidRPr="000D00FF">
        <w:rPr>
          <w:rFonts w:ascii="Arial" w:eastAsia="Times New Roman" w:hAnsi="Arial" w:cs="Arial"/>
          <w:color w:val="000000"/>
          <w:sz w:val="24"/>
          <w:szCs w:val="24"/>
        </w:rPr>
        <w:t xml:space="preserve">Trường hợp luật sư gặp người bị bắt, tạm giữ, tạm giam, khởi tố, điều tra, truy tố, xét xử theo lịch cho phép gặp người bị bắt, tạm giữ, tạm giam, khởi tố, điều tra, truy tố, xét xử tại nhà tạm giữ, trại tạm giam, trại giam hoặc thời gian tham gia phiên </w:t>
      </w:r>
      <w:proofErr w:type="spellStart"/>
      <w:r w:rsidRPr="000D00FF">
        <w:rPr>
          <w:rFonts w:ascii="Arial" w:eastAsia="Times New Roman" w:hAnsi="Arial" w:cs="Arial"/>
          <w:color w:val="000000"/>
          <w:sz w:val="24"/>
          <w:szCs w:val="24"/>
        </w:rPr>
        <w:t>tòa</w:t>
      </w:r>
      <w:proofErr w:type="spellEnd"/>
      <w:r w:rsidRPr="000D00FF">
        <w:rPr>
          <w:rFonts w:ascii="Arial" w:eastAsia="Times New Roman" w:hAnsi="Arial" w:cs="Arial"/>
          <w:color w:val="000000"/>
          <w:sz w:val="24"/>
          <w:szCs w:val="24"/>
        </w:rPr>
        <w:t xml:space="preserve"> vào ngoài giờ hành chính, ngày nghỉ, ngày lễ thì thời gian làm việc được tính mức theo nguyên tắc chi trả tiền lương làm việc vào ban đêm, làm thêm giờ đối với cán bộ, công chức, viên chức, cụ thể như sau:</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proofErr w:type="gramStart"/>
      <w:r w:rsidRPr="000D00FF">
        <w:rPr>
          <w:rFonts w:ascii="Arial" w:eastAsia="Times New Roman" w:hAnsi="Arial" w:cs="Arial"/>
          <w:color w:val="000000"/>
          <w:sz w:val="24"/>
          <w:szCs w:val="24"/>
        </w:rPr>
        <w:t>Mức 150% áp dụng đối với giờ làm thêm vào ngày thường.</w:t>
      </w:r>
      <w:proofErr w:type="gramEnd"/>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proofErr w:type="gramStart"/>
      <w:r w:rsidRPr="000D00FF">
        <w:rPr>
          <w:rFonts w:ascii="Arial" w:eastAsia="Times New Roman" w:hAnsi="Arial" w:cs="Arial"/>
          <w:color w:val="000000"/>
          <w:sz w:val="24"/>
          <w:szCs w:val="24"/>
        </w:rPr>
        <w:t>Mức 200% áp dụng đối với giờ làm thêm vào ngày nghỉ hàng tuần.</w:t>
      </w:r>
      <w:proofErr w:type="gramEnd"/>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proofErr w:type="gramStart"/>
      <w:r w:rsidRPr="000D00FF">
        <w:rPr>
          <w:rFonts w:ascii="Arial" w:eastAsia="Times New Roman" w:hAnsi="Arial" w:cs="Arial"/>
          <w:color w:val="000000"/>
          <w:sz w:val="24"/>
          <w:szCs w:val="24"/>
        </w:rPr>
        <w:t>Mức 300% áp dụng đối với giờ làm thêm vào ngày lễ hoặc ngày nghỉ bù nếu ngày nghỉ lễ trùng vào ngày nghỉ hàng tuần.</w:t>
      </w:r>
      <w:proofErr w:type="gramEnd"/>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r w:rsidRPr="000D00FF">
        <w:rPr>
          <w:rFonts w:ascii="Arial" w:eastAsia="Times New Roman" w:hAnsi="Arial" w:cs="Arial"/>
          <w:color w:val="000000"/>
          <w:sz w:val="24"/>
          <w:szCs w:val="24"/>
        </w:rPr>
        <w:t xml:space="preserve">Thời gian làm việc của luật sư phải được cơ quan tiến hành tố tụng, người tiến hành tố tụng trực tiếp giải quyết vụ </w:t>
      </w:r>
      <w:proofErr w:type="gramStart"/>
      <w:r w:rsidRPr="000D00FF">
        <w:rPr>
          <w:rFonts w:ascii="Arial" w:eastAsia="Times New Roman" w:hAnsi="Arial" w:cs="Arial"/>
          <w:color w:val="000000"/>
          <w:sz w:val="24"/>
          <w:szCs w:val="24"/>
        </w:rPr>
        <w:t>án</w:t>
      </w:r>
      <w:proofErr w:type="gramEnd"/>
      <w:r w:rsidRPr="000D00FF">
        <w:rPr>
          <w:rFonts w:ascii="Arial" w:eastAsia="Times New Roman" w:hAnsi="Arial" w:cs="Arial"/>
          <w:color w:val="000000"/>
          <w:sz w:val="24"/>
          <w:szCs w:val="24"/>
        </w:rPr>
        <w:t xml:space="preserve"> xác nhận trên cơ sở tổng hợp thời gian làm việc tại điểm a, b, c, d, đ khoản này, làm căn cứ chi trả thù lao cho luật sư.</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r w:rsidRPr="000D00FF">
        <w:rPr>
          <w:rFonts w:ascii="Arial" w:eastAsia="Times New Roman" w:hAnsi="Arial" w:cs="Arial"/>
          <w:color w:val="000000"/>
          <w:sz w:val="24"/>
          <w:szCs w:val="24"/>
        </w:rPr>
        <w:t xml:space="preserve">3. Ngoài khoản tiền thù lao, trong quá trình chuẩn bị và tham gia bào chữa tại phiên toà, nếu luật sư phải đi công tác thì được thanh toán công tác </w:t>
      </w:r>
      <w:proofErr w:type="gramStart"/>
      <w:r w:rsidRPr="000D00FF">
        <w:rPr>
          <w:rFonts w:ascii="Arial" w:eastAsia="Times New Roman" w:hAnsi="Arial" w:cs="Arial"/>
          <w:color w:val="000000"/>
          <w:sz w:val="24"/>
          <w:szCs w:val="24"/>
        </w:rPr>
        <w:t>phí  theo</w:t>
      </w:r>
      <w:proofErr w:type="gramEnd"/>
      <w:r w:rsidRPr="000D00FF">
        <w:rPr>
          <w:rFonts w:ascii="Arial" w:eastAsia="Times New Roman" w:hAnsi="Arial" w:cs="Arial"/>
          <w:color w:val="000000"/>
          <w:sz w:val="24"/>
          <w:szCs w:val="24"/>
        </w:rPr>
        <w:t xml:space="preserve"> quy định hiện hành về chế độ công tác phí cho cán bộ, công chức nhà nước đi công tác trong nước theo mức chi áp dụng đối với công chức không giữ chức vụ lãnh đạo.</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proofErr w:type="gramStart"/>
      <w:r w:rsidRPr="000D00FF">
        <w:rPr>
          <w:rFonts w:ascii="Arial" w:eastAsia="Times New Roman" w:hAnsi="Arial" w:cs="Arial"/>
          <w:color w:val="000000"/>
          <w:sz w:val="24"/>
          <w:szCs w:val="24"/>
        </w:rPr>
        <w:lastRenderedPageBreak/>
        <w:t>Thời gian và địa điểm đi công tác của luật sư phải được cơ quan tiến hành tố tụng xác nhận.</w:t>
      </w:r>
      <w:proofErr w:type="gramEnd"/>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r w:rsidRPr="000D00FF">
        <w:rPr>
          <w:rFonts w:ascii="Arial" w:eastAsia="Times New Roman" w:hAnsi="Arial" w:cs="Arial"/>
          <w:color w:val="000000"/>
          <w:sz w:val="24"/>
          <w:szCs w:val="24"/>
        </w:rPr>
        <w:t>4. Ngoài khoản thù lao và các khoản chi phí tại khoản 1, 2, 3 Điều này do cơ quan tiến hành tố tụng thanh toán, luật sư không được đòi hỏi thêm bất cứ khoản tiền, lợi ích nào khác từ người bị bắt, tạm giữ, tạm giam, khởi tố, điều tra, truy tố, xét xử hoặc thân nhân của họ.</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b/>
          <w:color w:val="000000"/>
          <w:sz w:val="24"/>
          <w:szCs w:val="24"/>
        </w:rPr>
      </w:pPr>
      <w:proofErr w:type="gramStart"/>
      <w:r w:rsidRPr="000D00FF">
        <w:rPr>
          <w:rFonts w:ascii="Arial" w:eastAsia="Times New Roman" w:hAnsi="Arial" w:cs="Arial"/>
          <w:b/>
          <w:bCs/>
          <w:color w:val="000000"/>
          <w:sz w:val="24"/>
          <w:szCs w:val="24"/>
        </w:rPr>
        <w:t>Điều </w:t>
      </w:r>
      <w:bookmarkStart w:id="3" w:name="Dieu_3"/>
      <w:bookmarkEnd w:id="3"/>
      <w:r w:rsidRPr="000D00FF">
        <w:rPr>
          <w:rFonts w:ascii="Arial" w:eastAsia="Times New Roman" w:hAnsi="Arial" w:cs="Arial"/>
          <w:b/>
          <w:bCs/>
          <w:color w:val="000000"/>
          <w:sz w:val="24"/>
          <w:szCs w:val="24"/>
        </w:rPr>
        <w:t>3.</w:t>
      </w:r>
      <w:proofErr w:type="gramEnd"/>
      <w:r w:rsidRPr="000D00FF">
        <w:rPr>
          <w:rFonts w:ascii="Arial" w:eastAsia="Times New Roman" w:hAnsi="Arial" w:cs="Arial"/>
          <w:b/>
          <w:bCs/>
          <w:color w:val="000000"/>
          <w:sz w:val="24"/>
          <w:szCs w:val="24"/>
        </w:rPr>
        <w:t xml:space="preserve"> Thủ tục chi trả</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r w:rsidRPr="000D00FF">
        <w:rPr>
          <w:rFonts w:ascii="Arial" w:eastAsia="Times New Roman" w:hAnsi="Arial" w:cs="Arial"/>
          <w:color w:val="000000"/>
          <w:sz w:val="24"/>
          <w:szCs w:val="24"/>
        </w:rPr>
        <w:t>1. Thủ tục chi trả:</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r w:rsidRPr="000D00FF">
        <w:rPr>
          <w:rFonts w:ascii="Arial" w:eastAsia="Times New Roman" w:hAnsi="Arial" w:cs="Arial"/>
          <w:color w:val="000000"/>
          <w:sz w:val="24"/>
          <w:szCs w:val="24"/>
        </w:rPr>
        <w:t>Cơ quan tố tụng nào yêu cầu luật sư bào chữa thì lập dự toán và trực tiếp chi trả cho luật sư, cụ thể: Cơ quan điều tra yêu cầu cử luật sư tham gia vụ án ở giai đoạn điều tra, thì cơ quan điều tra có trách nhiệm chi trả cho luật sư đối với những hoạt động của luật sư trong giai đoạn điều tra; Viện Kiểm sát nhân dân có trách nhiệm chi trả cho luật sư đối với những hoạt động của luật sư ở giai đoạn truy tố; Toà án nhân dân có trách nhiệm chi trả cho luật sư đối với những hoạt động của luật sư ở giai đoạn xét xử.</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r w:rsidRPr="000D00FF">
        <w:rPr>
          <w:rFonts w:ascii="Arial" w:eastAsia="Times New Roman" w:hAnsi="Arial" w:cs="Arial"/>
          <w:color w:val="000000"/>
          <w:sz w:val="24"/>
          <w:szCs w:val="24"/>
        </w:rPr>
        <w:t>2. Thời gian chi trả:</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r w:rsidRPr="000D00FF">
        <w:rPr>
          <w:rFonts w:ascii="Arial" w:eastAsia="Times New Roman" w:hAnsi="Arial" w:cs="Arial"/>
          <w:color w:val="000000"/>
          <w:sz w:val="24"/>
          <w:szCs w:val="24"/>
        </w:rPr>
        <w:t xml:space="preserve">Sau khi kết thúc từng giai đoạn trong tố tụng (điều tra, truy tố, xét xử), luật sư tham gia vụ án hoàn chỉnh chứng từ đề nghị thanh toán thù </w:t>
      </w:r>
      <w:proofErr w:type="gramStart"/>
      <w:r w:rsidRPr="000D00FF">
        <w:rPr>
          <w:rFonts w:ascii="Arial" w:eastAsia="Times New Roman" w:hAnsi="Arial" w:cs="Arial"/>
          <w:color w:val="000000"/>
          <w:sz w:val="24"/>
          <w:szCs w:val="24"/>
        </w:rPr>
        <w:t>lao</w:t>
      </w:r>
      <w:proofErr w:type="gramEnd"/>
      <w:r w:rsidRPr="000D00FF">
        <w:rPr>
          <w:rFonts w:ascii="Arial" w:eastAsia="Times New Roman" w:hAnsi="Arial" w:cs="Arial"/>
          <w:color w:val="000000"/>
          <w:sz w:val="24"/>
          <w:szCs w:val="24"/>
        </w:rPr>
        <w:t xml:space="preserve"> và các khoản chi phí liên quan theo quy định tại Điều 2 Thông tư này gửi cơ quan tố tụng yêu cầu luật sư tham gia.</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r w:rsidRPr="000D00FF">
        <w:rPr>
          <w:rFonts w:ascii="Arial" w:eastAsia="Times New Roman" w:hAnsi="Arial" w:cs="Arial"/>
          <w:color w:val="000000"/>
          <w:sz w:val="24"/>
          <w:szCs w:val="24"/>
        </w:rPr>
        <w:t xml:space="preserve">Trong thời hạn 05 ngày làm việc, kể từ ngày nhận được đủ hồ sơ đề nghị thanh toán thù </w:t>
      </w:r>
      <w:proofErr w:type="gramStart"/>
      <w:r w:rsidRPr="000D00FF">
        <w:rPr>
          <w:rFonts w:ascii="Arial" w:eastAsia="Times New Roman" w:hAnsi="Arial" w:cs="Arial"/>
          <w:color w:val="000000"/>
          <w:sz w:val="24"/>
          <w:szCs w:val="24"/>
        </w:rPr>
        <w:t>lao</w:t>
      </w:r>
      <w:proofErr w:type="gramEnd"/>
      <w:r w:rsidRPr="000D00FF">
        <w:rPr>
          <w:rFonts w:ascii="Arial" w:eastAsia="Times New Roman" w:hAnsi="Arial" w:cs="Arial"/>
          <w:color w:val="000000"/>
          <w:sz w:val="24"/>
          <w:szCs w:val="24"/>
        </w:rPr>
        <w:t xml:space="preserve"> và các khoản chi phí liên quan của luật sư theo quy định, cơ quan tố tụng có trách nhiệm chi trả cho luật sư tham gia tố tụng.</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b/>
          <w:color w:val="000000"/>
          <w:sz w:val="24"/>
          <w:szCs w:val="24"/>
        </w:rPr>
      </w:pPr>
      <w:proofErr w:type="gramStart"/>
      <w:r w:rsidRPr="000D00FF">
        <w:rPr>
          <w:rFonts w:ascii="Arial" w:eastAsia="Times New Roman" w:hAnsi="Arial" w:cs="Arial"/>
          <w:b/>
          <w:bCs/>
          <w:color w:val="000000"/>
          <w:sz w:val="24"/>
          <w:szCs w:val="24"/>
        </w:rPr>
        <w:t>Điều </w:t>
      </w:r>
      <w:bookmarkStart w:id="4" w:name="Dieu_4"/>
      <w:bookmarkEnd w:id="4"/>
      <w:r w:rsidRPr="000D00FF">
        <w:rPr>
          <w:rFonts w:ascii="Arial" w:eastAsia="Times New Roman" w:hAnsi="Arial" w:cs="Arial"/>
          <w:b/>
          <w:bCs/>
          <w:color w:val="000000"/>
          <w:sz w:val="24"/>
          <w:szCs w:val="24"/>
        </w:rPr>
        <w:t>4.</w:t>
      </w:r>
      <w:proofErr w:type="gramEnd"/>
      <w:r w:rsidRPr="000D00FF">
        <w:rPr>
          <w:rFonts w:ascii="Arial" w:eastAsia="Times New Roman" w:hAnsi="Arial" w:cs="Arial"/>
          <w:b/>
          <w:bCs/>
          <w:color w:val="000000"/>
          <w:sz w:val="24"/>
          <w:szCs w:val="24"/>
        </w:rPr>
        <w:t xml:space="preserve"> Nguồn kinh phí</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r w:rsidRPr="000D00FF">
        <w:rPr>
          <w:rFonts w:ascii="Arial" w:eastAsia="Times New Roman" w:hAnsi="Arial" w:cs="Arial"/>
          <w:color w:val="000000"/>
          <w:sz w:val="24"/>
          <w:szCs w:val="24"/>
        </w:rPr>
        <w:t xml:space="preserve">Kinh phí để chi trả thù </w:t>
      </w:r>
      <w:proofErr w:type="gramStart"/>
      <w:r w:rsidRPr="000D00FF">
        <w:rPr>
          <w:rFonts w:ascii="Arial" w:eastAsia="Times New Roman" w:hAnsi="Arial" w:cs="Arial"/>
          <w:color w:val="000000"/>
          <w:sz w:val="24"/>
          <w:szCs w:val="24"/>
        </w:rPr>
        <w:t>lao</w:t>
      </w:r>
      <w:proofErr w:type="gramEnd"/>
      <w:r w:rsidRPr="000D00FF">
        <w:rPr>
          <w:rFonts w:ascii="Arial" w:eastAsia="Times New Roman" w:hAnsi="Arial" w:cs="Arial"/>
          <w:color w:val="000000"/>
          <w:sz w:val="24"/>
          <w:szCs w:val="24"/>
        </w:rPr>
        <w:t xml:space="preserve"> và các khoản chi phí cho luật sư tham gia tố tụng theo yêu cầu của cơ quan tiến hành tố tụng được bố trí trong dự toán ngân sách hàng năm của các cơ quan tiến hành tố tụng.</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b/>
          <w:color w:val="000000"/>
          <w:sz w:val="24"/>
          <w:szCs w:val="24"/>
        </w:rPr>
      </w:pPr>
      <w:proofErr w:type="gramStart"/>
      <w:r w:rsidRPr="000D00FF">
        <w:rPr>
          <w:rFonts w:ascii="Arial" w:eastAsia="Times New Roman" w:hAnsi="Arial" w:cs="Arial"/>
          <w:b/>
          <w:bCs/>
          <w:color w:val="000000"/>
          <w:sz w:val="24"/>
          <w:szCs w:val="24"/>
        </w:rPr>
        <w:t>Điều </w:t>
      </w:r>
      <w:bookmarkStart w:id="5" w:name="Dieu_5"/>
      <w:bookmarkEnd w:id="5"/>
      <w:r w:rsidRPr="000D00FF">
        <w:rPr>
          <w:rFonts w:ascii="Arial" w:eastAsia="Times New Roman" w:hAnsi="Arial" w:cs="Arial"/>
          <w:b/>
          <w:bCs/>
          <w:color w:val="000000"/>
          <w:sz w:val="24"/>
          <w:szCs w:val="24"/>
        </w:rPr>
        <w:t>5.</w:t>
      </w:r>
      <w:proofErr w:type="gramEnd"/>
      <w:r w:rsidRPr="000D00FF">
        <w:rPr>
          <w:rFonts w:ascii="Arial" w:eastAsia="Times New Roman" w:hAnsi="Arial" w:cs="Arial"/>
          <w:b/>
          <w:bCs/>
          <w:color w:val="000000"/>
          <w:sz w:val="24"/>
          <w:szCs w:val="24"/>
        </w:rPr>
        <w:t xml:space="preserve"> Lập dự toán, chấp hành và quyết toán kinh phí</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r w:rsidRPr="000D00FF">
        <w:rPr>
          <w:rFonts w:ascii="Arial" w:eastAsia="Times New Roman" w:hAnsi="Arial" w:cs="Arial"/>
          <w:color w:val="000000"/>
          <w:sz w:val="24"/>
          <w:szCs w:val="24"/>
        </w:rPr>
        <w:t xml:space="preserve">Việc lập dự toán, chấp hành và quyết toán kinh phí chi trả cho luật sư tham gia tố tụng </w:t>
      </w:r>
      <w:proofErr w:type="gramStart"/>
      <w:r w:rsidRPr="000D00FF">
        <w:rPr>
          <w:rFonts w:ascii="Arial" w:eastAsia="Times New Roman" w:hAnsi="Arial" w:cs="Arial"/>
          <w:color w:val="000000"/>
          <w:sz w:val="24"/>
          <w:szCs w:val="24"/>
        </w:rPr>
        <w:t>theo</w:t>
      </w:r>
      <w:proofErr w:type="gramEnd"/>
      <w:r w:rsidRPr="000D00FF">
        <w:rPr>
          <w:rFonts w:ascii="Arial" w:eastAsia="Times New Roman" w:hAnsi="Arial" w:cs="Arial"/>
          <w:color w:val="000000"/>
          <w:sz w:val="24"/>
          <w:szCs w:val="24"/>
        </w:rPr>
        <w:t xml:space="preserve"> yêu cầu của cơ quan tiến hành tố tụng thực hiện theo quy định của Luật Ngân sách Nhà nước, Luật Kế toán và các văn bản hướng dẫn.</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b/>
          <w:color w:val="000000"/>
          <w:sz w:val="24"/>
          <w:szCs w:val="24"/>
        </w:rPr>
      </w:pPr>
      <w:proofErr w:type="gramStart"/>
      <w:r w:rsidRPr="000D00FF">
        <w:rPr>
          <w:rFonts w:ascii="Arial" w:eastAsia="Times New Roman" w:hAnsi="Arial" w:cs="Arial"/>
          <w:b/>
          <w:bCs/>
          <w:color w:val="000000"/>
          <w:sz w:val="24"/>
          <w:szCs w:val="24"/>
        </w:rPr>
        <w:t>Điều </w:t>
      </w:r>
      <w:bookmarkStart w:id="6" w:name="Dieu_6"/>
      <w:bookmarkEnd w:id="6"/>
      <w:r w:rsidRPr="000D00FF">
        <w:rPr>
          <w:rFonts w:ascii="Arial" w:eastAsia="Times New Roman" w:hAnsi="Arial" w:cs="Arial"/>
          <w:b/>
          <w:bCs/>
          <w:color w:val="000000"/>
          <w:sz w:val="24"/>
          <w:szCs w:val="24"/>
        </w:rPr>
        <w:t>6.</w:t>
      </w:r>
      <w:proofErr w:type="gramEnd"/>
      <w:r w:rsidRPr="000D00FF">
        <w:rPr>
          <w:rFonts w:ascii="Arial" w:eastAsia="Times New Roman" w:hAnsi="Arial" w:cs="Arial"/>
          <w:b/>
          <w:bCs/>
          <w:color w:val="000000"/>
          <w:sz w:val="24"/>
          <w:szCs w:val="24"/>
        </w:rPr>
        <w:t xml:space="preserve"> Điều khoản thi hành</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r w:rsidRPr="000D00FF">
        <w:rPr>
          <w:rFonts w:ascii="Arial" w:eastAsia="Times New Roman" w:hAnsi="Arial" w:cs="Arial"/>
          <w:color w:val="000000"/>
          <w:sz w:val="24"/>
          <w:szCs w:val="24"/>
        </w:rPr>
        <w:t>1. Thông tư này có hiệu lực kể từ ngày 01 tháng 02 năm 2015, thay thế Thông tư liên tịch số </w:t>
      </w:r>
      <w:r w:rsidRPr="000D00FF">
        <w:rPr>
          <w:rFonts w:ascii="Arial" w:eastAsia="Times New Roman" w:hAnsi="Arial" w:cs="Arial"/>
          <w:color w:val="000000" w:themeColor="text1"/>
          <w:sz w:val="24"/>
          <w:szCs w:val="24"/>
        </w:rPr>
        <w:t>66/2007/TTLT-BTC-BTP</w:t>
      </w:r>
      <w:r w:rsidRPr="000D00FF">
        <w:rPr>
          <w:rFonts w:ascii="Arial" w:eastAsia="Times New Roman" w:hAnsi="Arial" w:cs="Arial"/>
          <w:color w:val="000000"/>
          <w:sz w:val="24"/>
          <w:szCs w:val="24"/>
        </w:rPr>
        <w:t> ngày 19/6/2007 của Bộ Tài chính và Bộ Tư pháp hướng dẫn về thù lao và thanh toán chi phí cho luật sư trong trường hợp luật sư tham gia tố tụng theo yêu cầu của cơ quan tiến hành tố tụng.</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r w:rsidRPr="000D00FF">
        <w:rPr>
          <w:rFonts w:ascii="Arial" w:eastAsia="Times New Roman" w:hAnsi="Arial" w:cs="Arial"/>
          <w:color w:val="000000"/>
          <w:sz w:val="24"/>
          <w:szCs w:val="24"/>
        </w:rPr>
        <w:t xml:space="preserve">2. Chế độ thù </w:t>
      </w:r>
      <w:proofErr w:type="gramStart"/>
      <w:r w:rsidRPr="000D00FF">
        <w:rPr>
          <w:rFonts w:ascii="Arial" w:eastAsia="Times New Roman" w:hAnsi="Arial" w:cs="Arial"/>
          <w:color w:val="000000"/>
          <w:sz w:val="24"/>
          <w:szCs w:val="24"/>
        </w:rPr>
        <w:t>lao</w:t>
      </w:r>
      <w:proofErr w:type="gramEnd"/>
      <w:r w:rsidRPr="000D00FF">
        <w:rPr>
          <w:rFonts w:ascii="Arial" w:eastAsia="Times New Roman" w:hAnsi="Arial" w:cs="Arial"/>
          <w:color w:val="000000"/>
          <w:sz w:val="24"/>
          <w:szCs w:val="24"/>
        </w:rPr>
        <w:t xml:space="preserve"> cho luật sư quy định tại Thông tư này được áp dụng từ ngày 28 tháng 11 năm 2013.</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r w:rsidRPr="000D00FF">
        <w:rPr>
          <w:rFonts w:ascii="Arial" w:eastAsia="Times New Roman" w:hAnsi="Arial" w:cs="Arial"/>
          <w:color w:val="000000"/>
          <w:sz w:val="24"/>
          <w:szCs w:val="24"/>
        </w:rPr>
        <w:t>Kinh phí thực hiện chế độ thù lao cho luật sư năm 2013 và năm 2014 do các cơ quan tiến hành tố tụng sắp xếp trong dự toán được giao để thực hiện.</w:t>
      </w:r>
    </w:p>
    <w:p w:rsidR="000D00FF" w:rsidRPr="000D00FF" w:rsidRDefault="000D00FF" w:rsidP="000D00FF">
      <w:pPr>
        <w:shd w:val="clear" w:color="auto" w:fill="FFFFFF"/>
        <w:spacing w:after="0" w:line="320" w:lineRule="atLeast"/>
        <w:jc w:val="both"/>
        <w:textAlignment w:val="baseline"/>
        <w:rPr>
          <w:rFonts w:ascii="Arial" w:eastAsia="Times New Roman" w:hAnsi="Arial" w:cs="Arial"/>
          <w:color w:val="000000"/>
          <w:sz w:val="24"/>
          <w:szCs w:val="24"/>
        </w:rPr>
      </w:pPr>
      <w:r w:rsidRPr="000D00FF">
        <w:rPr>
          <w:rFonts w:ascii="Arial" w:eastAsia="Times New Roman" w:hAnsi="Arial" w:cs="Arial"/>
          <w:color w:val="000000"/>
          <w:sz w:val="24"/>
          <w:szCs w:val="24"/>
        </w:rPr>
        <w:t>3. Trong quá trình thực hiện nếu có khó khăn vướng mắc, đề nghị phản ánh về Bộ Tài chính, Bộ Tư pháp để sửa đổi, bổ sung cho phù hợp./.</w:t>
      </w:r>
    </w:p>
    <w:tbl>
      <w:tblPr>
        <w:tblW w:w="11700" w:type="dxa"/>
        <w:tblCellMar>
          <w:left w:w="0" w:type="dxa"/>
          <w:right w:w="0" w:type="dxa"/>
        </w:tblCellMar>
        <w:tblLook w:val="04A0" w:firstRow="1" w:lastRow="0" w:firstColumn="1" w:lastColumn="0" w:noHBand="0" w:noVBand="1"/>
      </w:tblPr>
      <w:tblGrid>
        <w:gridCol w:w="5805"/>
        <w:gridCol w:w="5805"/>
        <w:gridCol w:w="7"/>
        <w:gridCol w:w="7"/>
        <w:gridCol w:w="19"/>
        <w:gridCol w:w="19"/>
        <w:gridCol w:w="19"/>
        <w:gridCol w:w="19"/>
      </w:tblGrid>
      <w:tr w:rsidR="000D00FF" w:rsidRPr="000D00FF" w:rsidTr="000D00FF">
        <w:trPr>
          <w:gridAfter w:val="6"/>
        </w:trPr>
        <w:tc>
          <w:tcPr>
            <w:tcW w:w="5805" w:type="dxa"/>
            <w:tcBorders>
              <w:top w:val="nil"/>
              <w:left w:val="nil"/>
              <w:bottom w:val="nil"/>
              <w:right w:val="nil"/>
            </w:tcBorders>
            <w:tcMar>
              <w:top w:w="30" w:type="dxa"/>
              <w:left w:w="0" w:type="dxa"/>
              <w:bottom w:w="30" w:type="dxa"/>
              <w:right w:w="0" w:type="dxa"/>
            </w:tcMar>
            <w:vAlign w:val="bottom"/>
            <w:hideMark/>
          </w:tcPr>
          <w:p w:rsidR="000D00FF" w:rsidRPr="000D00FF" w:rsidRDefault="000D00FF" w:rsidP="000D00FF">
            <w:pPr>
              <w:spacing w:after="0" w:line="240" w:lineRule="auto"/>
              <w:rPr>
                <w:rFonts w:ascii="Arial" w:eastAsia="Times New Roman" w:hAnsi="Arial" w:cs="Arial"/>
                <w:caps/>
                <w:color w:val="000000"/>
                <w:sz w:val="24"/>
                <w:szCs w:val="24"/>
              </w:rPr>
            </w:pPr>
          </w:p>
        </w:tc>
        <w:tc>
          <w:tcPr>
            <w:tcW w:w="5805" w:type="dxa"/>
            <w:tcBorders>
              <w:top w:val="nil"/>
              <w:left w:val="nil"/>
              <w:bottom w:val="nil"/>
              <w:right w:val="nil"/>
            </w:tcBorders>
            <w:tcMar>
              <w:top w:w="30" w:type="dxa"/>
              <w:left w:w="0" w:type="dxa"/>
              <w:bottom w:w="30" w:type="dxa"/>
              <w:right w:w="0" w:type="dxa"/>
            </w:tcMar>
            <w:vAlign w:val="bottom"/>
            <w:hideMark/>
          </w:tcPr>
          <w:p w:rsidR="000D00FF" w:rsidRPr="000D00FF" w:rsidRDefault="000D00FF" w:rsidP="000D00FF">
            <w:pPr>
              <w:spacing w:after="0" w:line="240" w:lineRule="auto"/>
              <w:rPr>
                <w:rFonts w:ascii="Arial" w:eastAsia="Times New Roman" w:hAnsi="Arial" w:cs="Arial"/>
                <w:caps/>
                <w:color w:val="000000"/>
                <w:sz w:val="24"/>
                <w:szCs w:val="24"/>
              </w:rPr>
            </w:pPr>
          </w:p>
        </w:tc>
      </w:tr>
      <w:tr w:rsidR="000D00FF" w:rsidRPr="000D00FF" w:rsidTr="000D00FF">
        <w:trPr>
          <w:gridAfter w:val="6"/>
        </w:trPr>
        <w:tc>
          <w:tcPr>
            <w:tcW w:w="5805" w:type="dxa"/>
            <w:tcBorders>
              <w:top w:val="nil"/>
              <w:left w:val="nil"/>
              <w:bottom w:val="nil"/>
              <w:right w:val="nil"/>
            </w:tcBorders>
            <w:tcMar>
              <w:top w:w="30" w:type="dxa"/>
              <w:left w:w="0" w:type="dxa"/>
              <w:bottom w:w="30" w:type="dxa"/>
              <w:right w:w="0" w:type="dxa"/>
            </w:tcMar>
            <w:vAlign w:val="bottom"/>
            <w:hideMark/>
          </w:tcPr>
          <w:p w:rsidR="000D00FF" w:rsidRPr="000D00FF" w:rsidRDefault="000D00FF" w:rsidP="000D00FF">
            <w:pPr>
              <w:spacing w:after="0" w:line="240" w:lineRule="auto"/>
              <w:jc w:val="center"/>
              <w:textAlignment w:val="baseline"/>
              <w:rPr>
                <w:rFonts w:ascii="Arial" w:eastAsia="Times New Roman" w:hAnsi="Arial" w:cs="Arial"/>
                <w:b/>
                <w:caps/>
                <w:color w:val="000000"/>
                <w:sz w:val="24"/>
                <w:szCs w:val="24"/>
              </w:rPr>
            </w:pPr>
            <w:r w:rsidRPr="000D00FF">
              <w:rPr>
                <w:rFonts w:ascii="Arial" w:eastAsia="Times New Roman" w:hAnsi="Arial" w:cs="Arial"/>
                <w:b/>
                <w:caps/>
                <w:color w:val="000000"/>
                <w:sz w:val="24"/>
                <w:szCs w:val="24"/>
              </w:rPr>
              <w:lastRenderedPageBreak/>
              <w:t>KT. BỘ TRƯỞNG BỘ TÀI CHÍNH</w:t>
            </w:r>
            <w:r w:rsidRPr="000D00FF">
              <w:rPr>
                <w:rFonts w:ascii="Arial" w:eastAsia="Times New Roman" w:hAnsi="Arial" w:cs="Arial"/>
                <w:b/>
                <w:caps/>
                <w:color w:val="000000"/>
                <w:sz w:val="24"/>
                <w:szCs w:val="24"/>
              </w:rPr>
              <w:br/>
              <w:t>THỨ TRƯỞNG</w:t>
            </w:r>
          </w:p>
        </w:tc>
        <w:tc>
          <w:tcPr>
            <w:tcW w:w="5805" w:type="dxa"/>
            <w:tcBorders>
              <w:top w:val="nil"/>
              <w:left w:val="nil"/>
              <w:bottom w:val="nil"/>
              <w:right w:val="nil"/>
            </w:tcBorders>
            <w:tcMar>
              <w:top w:w="30" w:type="dxa"/>
              <w:left w:w="0" w:type="dxa"/>
              <w:bottom w:w="30" w:type="dxa"/>
              <w:right w:w="0" w:type="dxa"/>
            </w:tcMar>
            <w:vAlign w:val="bottom"/>
            <w:hideMark/>
          </w:tcPr>
          <w:p w:rsidR="000D00FF" w:rsidRPr="000D00FF" w:rsidRDefault="000D00FF" w:rsidP="000D00FF">
            <w:pPr>
              <w:spacing w:after="0" w:line="240" w:lineRule="auto"/>
              <w:textAlignment w:val="baseline"/>
              <w:rPr>
                <w:rFonts w:ascii="Arial" w:eastAsia="Times New Roman" w:hAnsi="Arial" w:cs="Arial"/>
                <w:b/>
                <w:caps/>
                <w:color w:val="000000"/>
                <w:sz w:val="24"/>
                <w:szCs w:val="24"/>
              </w:rPr>
            </w:pPr>
            <w:r w:rsidRPr="000D00FF">
              <w:rPr>
                <w:rFonts w:ascii="Arial" w:eastAsia="Times New Roman" w:hAnsi="Arial" w:cs="Arial"/>
                <w:b/>
                <w:caps/>
                <w:color w:val="000000"/>
                <w:sz w:val="24"/>
                <w:szCs w:val="24"/>
              </w:rPr>
              <w:t>KT. BỘ TRƯỞNG BỘ TƯ PHÁP</w:t>
            </w:r>
            <w:r w:rsidRPr="000D00FF">
              <w:rPr>
                <w:rFonts w:ascii="Arial" w:eastAsia="Times New Roman" w:hAnsi="Arial" w:cs="Arial"/>
                <w:b/>
                <w:caps/>
                <w:color w:val="000000"/>
                <w:sz w:val="24"/>
                <w:szCs w:val="24"/>
              </w:rPr>
              <w:br/>
              <w:t>THỨ TRƯỞNG</w:t>
            </w:r>
          </w:p>
        </w:tc>
      </w:tr>
      <w:tr w:rsidR="000D00FF" w:rsidRPr="000D00FF" w:rsidTr="000D00FF">
        <w:trPr>
          <w:gridAfter w:val="6"/>
        </w:trPr>
        <w:tc>
          <w:tcPr>
            <w:tcW w:w="5805" w:type="dxa"/>
            <w:tcBorders>
              <w:top w:val="nil"/>
              <w:left w:val="nil"/>
              <w:bottom w:val="nil"/>
              <w:right w:val="nil"/>
            </w:tcBorders>
            <w:tcMar>
              <w:top w:w="30" w:type="dxa"/>
              <w:left w:w="0" w:type="dxa"/>
              <w:bottom w:w="30" w:type="dxa"/>
              <w:right w:w="0" w:type="dxa"/>
            </w:tcMar>
            <w:vAlign w:val="bottom"/>
            <w:hideMark/>
          </w:tcPr>
          <w:p w:rsidR="000D00FF" w:rsidRPr="000D00FF" w:rsidRDefault="000D00FF" w:rsidP="000D00FF">
            <w:pPr>
              <w:spacing w:after="0" w:line="240" w:lineRule="auto"/>
              <w:jc w:val="center"/>
              <w:textAlignment w:val="baseline"/>
              <w:rPr>
                <w:rFonts w:ascii="Arial" w:eastAsia="Times New Roman" w:hAnsi="Arial" w:cs="Arial"/>
                <w:b/>
                <w:color w:val="000000"/>
                <w:sz w:val="24"/>
                <w:szCs w:val="24"/>
              </w:rPr>
            </w:pPr>
            <w:r w:rsidRPr="000D00FF">
              <w:rPr>
                <w:rFonts w:ascii="Arial" w:eastAsia="Times New Roman" w:hAnsi="Arial" w:cs="Arial"/>
                <w:b/>
                <w:iCs/>
                <w:color w:val="000000"/>
                <w:sz w:val="24"/>
                <w:szCs w:val="24"/>
                <w:bdr w:val="none" w:sz="0" w:space="0" w:color="auto" w:frame="1"/>
              </w:rPr>
              <w:t>(Đã ký)</w:t>
            </w:r>
          </w:p>
        </w:tc>
        <w:tc>
          <w:tcPr>
            <w:tcW w:w="5805" w:type="dxa"/>
            <w:tcBorders>
              <w:top w:val="nil"/>
              <w:left w:val="nil"/>
              <w:bottom w:val="nil"/>
              <w:right w:val="nil"/>
            </w:tcBorders>
            <w:tcMar>
              <w:top w:w="30" w:type="dxa"/>
              <w:left w:w="0" w:type="dxa"/>
              <w:bottom w:w="30" w:type="dxa"/>
              <w:right w:w="0" w:type="dxa"/>
            </w:tcMar>
            <w:vAlign w:val="bottom"/>
            <w:hideMark/>
          </w:tcPr>
          <w:p w:rsidR="000D00FF" w:rsidRPr="000D00FF" w:rsidRDefault="000D00FF" w:rsidP="000D00FF">
            <w:pPr>
              <w:spacing w:after="0" w:line="240" w:lineRule="auto"/>
              <w:textAlignment w:val="baseline"/>
              <w:rPr>
                <w:rFonts w:ascii="Arial" w:eastAsia="Times New Roman" w:hAnsi="Arial" w:cs="Arial"/>
                <w:b/>
                <w:color w:val="000000"/>
                <w:sz w:val="24"/>
                <w:szCs w:val="24"/>
              </w:rPr>
            </w:pPr>
            <w:r>
              <w:rPr>
                <w:rFonts w:ascii="Arial" w:eastAsia="Times New Roman" w:hAnsi="Arial" w:cs="Arial"/>
                <w:b/>
                <w:iCs/>
                <w:color w:val="000000"/>
                <w:sz w:val="24"/>
                <w:szCs w:val="24"/>
                <w:bdr w:val="none" w:sz="0" w:space="0" w:color="auto" w:frame="1"/>
              </w:rPr>
              <w:t xml:space="preserve">            </w:t>
            </w:r>
            <w:r w:rsidRPr="000D00FF">
              <w:rPr>
                <w:rFonts w:ascii="Arial" w:eastAsia="Times New Roman" w:hAnsi="Arial" w:cs="Arial"/>
                <w:b/>
                <w:iCs/>
                <w:color w:val="000000"/>
                <w:sz w:val="24"/>
                <w:szCs w:val="24"/>
                <w:bdr w:val="none" w:sz="0" w:space="0" w:color="auto" w:frame="1"/>
              </w:rPr>
              <w:t>(Đã ký)</w:t>
            </w:r>
          </w:p>
        </w:tc>
      </w:tr>
      <w:tr w:rsidR="000D00FF" w:rsidRPr="000D00FF" w:rsidTr="000D00FF">
        <w:tc>
          <w:tcPr>
            <w:tcW w:w="0" w:type="auto"/>
            <w:gridSpan w:val="4"/>
            <w:tcBorders>
              <w:top w:val="nil"/>
              <w:left w:val="nil"/>
              <w:bottom w:val="nil"/>
              <w:right w:val="nil"/>
            </w:tcBorders>
            <w:tcMar>
              <w:top w:w="30" w:type="dxa"/>
              <w:left w:w="0" w:type="dxa"/>
              <w:bottom w:w="30" w:type="dxa"/>
              <w:right w:w="0" w:type="dxa"/>
            </w:tcMar>
            <w:vAlign w:val="bottom"/>
            <w:hideMark/>
          </w:tcPr>
          <w:p w:rsidR="000D00FF" w:rsidRPr="000D00FF" w:rsidRDefault="000D00FF" w:rsidP="000D00FF">
            <w:pPr>
              <w:spacing w:after="0" w:line="240" w:lineRule="auto"/>
              <w:jc w:val="center"/>
              <w:rPr>
                <w:rFonts w:ascii="Arial" w:eastAsia="Times New Roman" w:hAnsi="Arial" w:cs="Arial"/>
                <w:b/>
                <w:color w:val="000000"/>
                <w:sz w:val="24"/>
                <w:szCs w:val="24"/>
              </w:rPr>
            </w:pPr>
            <w:r w:rsidRPr="000D00FF">
              <w:rPr>
                <w:rFonts w:ascii="Arial" w:eastAsia="Times New Roman" w:hAnsi="Arial" w:cs="Arial"/>
                <w:b/>
                <w:color w:val="000000"/>
                <w:sz w:val="24"/>
                <w:szCs w:val="24"/>
              </w:rPr>
              <w:t> </w:t>
            </w:r>
          </w:p>
        </w:tc>
        <w:tc>
          <w:tcPr>
            <w:tcW w:w="0" w:type="auto"/>
            <w:gridSpan w:val="4"/>
            <w:tcBorders>
              <w:top w:val="nil"/>
              <w:left w:val="nil"/>
              <w:bottom w:val="nil"/>
              <w:right w:val="nil"/>
            </w:tcBorders>
            <w:tcMar>
              <w:top w:w="30" w:type="dxa"/>
              <w:left w:w="0" w:type="dxa"/>
              <w:bottom w:w="30" w:type="dxa"/>
              <w:right w:w="0" w:type="dxa"/>
            </w:tcMar>
            <w:vAlign w:val="bottom"/>
            <w:hideMark/>
          </w:tcPr>
          <w:p w:rsidR="000D00FF" w:rsidRPr="000D00FF" w:rsidRDefault="000D00FF" w:rsidP="000D00FF">
            <w:pPr>
              <w:spacing w:after="0" w:line="240" w:lineRule="auto"/>
              <w:jc w:val="center"/>
              <w:rPr>
                <w:rFonts w:ascii="Arial" w:eastAsia="Times New Roman" w:hAnsi="Arial" w:cs="Arial"/>
                <w:b/>
                <w:color w:val="000000"/>
                <w:sz w:val="24"/>
                <w:szCs w:val="24"/>
              </w:rPr>
            </w:pPr>
            <w:r w:rsidRPr="000D00FF">
              <w:rPr>
                <w:rFonts w:ascii="Arial" w:eastAsia="Times New Roman" w:hAnsi="Arial" w:cs="Arial"/>
                <w:b/>
                <w:color w:val="000000"/>
                <w:sz w:val="24"/>
                <w:szCs w:val="24"/>
              </w:rPr>
              <w:t> </w:t>
            </w:r>
          </w:p>
        </w:tc>
      </w:tr>
      <w:tr w:rsidR="000D00FF" w:rsidRPr="000D00FF" w:rsidTr="000D00FF">
        <w:tc>
          <w:tcPr>
            <w:tcW w:w="5805" w:type="dxa"/>
            <w:tcBorders>
              <w:top w:val="nil"/>
              <w:left w:val="nil"/>
              <w:bottom w:val="nil"/>
              <w:right w:val="nil"/>
            </w:tcBorders>
            <w:tcMar>
              <w:top w:w="30" w:type="dxa"/>
              <w:left w:w="0" w:type="dxa"/>
              <w:bottom w:w="30" w:type="dxa"/>
              <w:right w:w="0" w:type="dxa"/>
            </w:tcMar>
            <w:vAlign w:val="bottom"/>
            <w:hideMark/>
          </w:tcPr>
          <w:p w:rsidR="000D00FF" w:rsidRPr="000D00FF" w:rsidRDefault="000D00FF" w:rsidP="000D00FF">
            <w:pPr>
              <w:spacing w:after="0" w:line="240" w:lineRule="auto"/>
              <w:textAlignment w:val="baseline"/>
              <w:rPr>
                <w:rFonts w:ascii="Arial" w:eastAsia="Times New Roman" w:hAnsi="Arial" w:cs="Arial"/>
                <w:b/>
                <w:color w:val="000000"/>
                <w:sz w:val="24"/>
                <w:szCs w:val="24"/>
              </w:rPr>
            </w:pPr>
            <w:r>
              <w:rPr>
                <w:rFonts w:ascii="Arial" w:eastAsia="Times New Roman" w:hAnsi="Arial" w:cs="Arial"/>
                <w:b/>
                <w:color w:val="000000"/>
                <w:sz w:val="24"/>
                <w:szCs w:val="24"/>
              </w:rPr>
              <w:t xml:space="preserve">                     </w:t>
            </w:r>
            <w:r w:rsidRPr="000D00FF">
              <w:rPr>
                <w:rFonts w:ascii="Arial" w:eastAsia="Times New Roman" w:hAnsi="Arial" w:cs="Arial"/>
                <w:b/>
                <w:color w:val="000000"/>
                <w:sz w:val="24"/>
                <w:szCs w:val="24"/>
              </w:rPr>
              <w:t>Trương Chí Trung</w:t>
            </w:r>
          </w:p>
        </w:tc>
        <w:tc>
          <w:tcPr>
            <w:tcW w:w="0" w:type="auto"/>
            <w:vAlign w:val="bottom"/>
            <w:hideMark/>
          </w:tcPr>
          <w:p w:rsidR="000D00FF" w:rsidRPr="000D00FF" w:rsidRDefault="000D00FF" w:rsidP="000D00FF">
            <w:pPr>
              <w:spacing w:after="0" w:line="240" w:lineRule="auto"/>
              <w:rPr>
                <w:rFonts w:ascii="Arial" w:eastAsia="Times New Roman" w:hAnsi="Arial" w:cs="Arial"/>
                <w:b/>
                <w:sz w:val="24"/>
                <w:szCs w:val="24"/>
              </w:rPr>
            </w:pPr>
          </w:p>
        </w:tc>
        <w:tc>
          <w:tcPr>
            <w:tcW w:w="0" w:type="auto"/>
            <w:vAlign w:val="bottom"/>
            <w:hideMark/>
          </w:tcPr>
          <w:p w:rsidR="000D00FF" w:rsidRPr="000D00FF" w:rsidRDefault="000D00FF" w:rsidP="000D00FF">
            <w:pPr>
              <w:spacing w:after="0" w:line="240" w:lineRule="auto"/>
              <w:rPr>
                <w:rFonts w:ascii="Arial" w:eastAsia="Times New Roman" w:hAnsi="Arial" w:cs="Arial"/>
                <w:b/>
                <w:sz w:val="24"/>
                <w:szCs w:val="24"/>
              </w:rPr>
            </w:pPr>
          </w:p>
        </w:tc>
        <w:tc>
          <w:tcPr>
            <w:tcW w:w="0" w:type="auto"/>
            <w:vAlign w:val="bottom"/>
            <w:hideMark/>
          </w:tcPr>
          <w:p w:rsidR="000D00FF" w:rsidRPr="000D00FF" w:rsidRDefault="000D00FF" w:rsidP="000D00FF">
            <w:pPr>
              <w:spacing w:after="0" w:line="240" w:lineRule="auto"/>
              <w:rPr>
                <w:rFonts w:ascii="Arial" w:eastAsia="Times New Roman" w:hAnsi="Arial" w:cs="Arial"/>
                <w:b/>
                <w:sz w:val="24"/>
                <w:szCs w:val="24"/>
              </w:rPr>
            </w:pPr>
          </w:p>
        </w:tc>
        <w:tc>
          <w:tcPr>
            <w:tcW w:w="0" w:type="auto"/>
            <w:vAlign w:val="bottom"/>
            <w:hideMark/>
          </w:tcPr>
          <w:p w:rsidR="000D00FF" w:rsidRPr="000D00FF" w:rsidRDefault="000D00FF" w:rsidP="000D00FF">
            <w:pPr>
              <w:spacing w:after="0" w:line="240" w:lineRule="auto"/>
              <w:rPr>
                <w:rFonts w:ascii="Arial" w:eastAsia="Times New Roman" w:hAnsi="Arial" w:cs="Arial"/>
                <w:b/>
                <w:sz w:val="24"/>
                <w:szCs w:val="24"/>
              </w:rPr>
            </w:pPr>
          </w:p>
        </w:tc>
        <w:tc>
          <w:tcPr>
            <w:tcW w:w="0" w:type="auto"/>
            <w:vAlign w:val="bottom"/>
            <w:hideMark/>
          </w:tcPr>
          <w:p w:rsidR="000D00FF" w:rsidRPr="000D00FF" w:rsidRDefault="000D00FF" w:rsidP="000D00FF">
            <w:pPr>
              <w:spacing w:after="0" w:line="240" w:lineRule="auto"/>
              <w:rPr>
                <w:rFonts w:ascii="Arial" w:eastAsia="Times New Roman" w:hAnsi="Arial" w:cs="Arial"/>
                <w:b/>
                <w:sz w:val="24"/>
                <w:szCs w:val="24"/>
              </w:rPr>
            </w:pPr>
          </w:p>
        </w:tc>
        <w:tc>
          <w:tcPr>
            <w:tcW w:w="0" w:type="auto"/>
            <w:vAlign w:val="bottom"/>
            <w:hideMark/>
          </w:tcPr>
          <w:p w:rsidR="000D00FF" w:rsidRPr="000D00FF" w:rsidRDefault="000D00FF" w:rsidP="000D00FF">
            <w:pPr>
              <w:spacing w:after="0" w:line="240" w:lineRule="auto"/>
              <w:rPr>
                <w:rFonts w:ascii="Arial" w:eastAsia="Times New Roman" w:hAnsi="Arial" w:cs="Arial"/>
                <w:b/>
                <w:sz w:val="24"/>
                <w:szCs w:val="24"/>
              </w:rPr>
            </w:pPr>
          </w:p>
        </w:tc>
        <w:tc>
          <w:tcPr>
            <w:tcW w:w="0" w:type="auto"/>
            <w:vAlign w:val="bottom"/>
            <w:hideMark/>
          </w:tcPr>
          <w:p w:rsidR="000D00FF" w:rsidRPr="000D00FF" w:rsidRDefault="000D00FF" w:rsidP="000D00FF">
            <w:pPr>
              <w:spacing w:after="0" w:line="240" w:lineRule="auto"/>
              <w:rPr>
                <w:rFonts w:ascii="Arial" w:eastAsia="Times New Roman" w:hAnsi="Arial" w:cs="Arial"/>
                <w:b/>
                <w:sz w:val="24"/>
                <w:szCs w:val="24"/>
              </w:rPr>
            </w:pPr>
          </w:p>
        </w:tc>
      </w:tr>
    </w:tbl>
    <w:p w:rsidR="00393DDB" w:rsidRPr="000D00FF" w:rsidRDefault="00FB63FA">
      <w:pPr>
        <w:rPr>
          <w:rFonts w:ascii="Arial" w:hAnsi="Arial" w:cs="Arial"/>
          <w:b/>
          <w:sz w:val="24"/>
          <w:szCs w:val="24"/>
        </w:rPr>
      </w:pPr>
    </w:p>
    <w:sectPr w:rsidR="00393DDB" w:rsidRPr="000D00FF" w:rsidSect="000672E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3FA" w:rsidRDefault="00FB63FA" w:rsidP="000D00FF">
      <w:pPr>
        <w:spacing w:after="0" w:line="240" w:lineRule="auto"/>
      </w:pPr>
      <w:r>
        <w:separator/>
      </w:r>
    </w:p>
  </w:endnote>
  <w:endnote w:type="continuationSeparator" w:id="0">
    <w:p w:rsidR="00FB63FA" w:rsidRDefault="00FB63FA" w:rsidP="000D0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0FF" w:rsidRPr="007A2900" w:rsidRDefault="007A2900" w:rsidP="007A2900">
    <w:pPr>
      <w:pStyle w:val="Footer"/>
      <w:rPr>
        <w:rFonts w:cs="Times New Roman"/>
        <w:b/>
        <w:color w:val="FF0000"/>
        <w:sz w:val="24"/>
      </w:rPr>
    </w:pPr>
    <w:r>
      <w:rPr>
        <w:rFonts w:cs="Times New Roman"/>
        <w:color w:val="FF9900"/>
        <w:sz w:val="24"/>
      </w:rPr>
      <w:t xml:space="preserve">LUẬT SƯ TƯ VẤN PHÁP LUẬT 24/7 </w:t>
    </w:r>
    <w:proofErr w:type="gramStart"/>
    <w:r>
      <w:rPr>
        <w:rFonts w:cs="Times New Roman"/>
        <w:color w:val="FF9900"/>
        <w:sz w:val="24"/>
      </w:rPr>
      <w:t xml:space="preserve">GỌI  </w:t>
    </w:r>
    <w:r>
      <w:rPr>
        <w:rFonts w:cs="Times New Roman"/>
        <w:b/>
        <w:color w:val="FF0000"/>
        <w:sz w:val="24"/>
      </w:rPr>
      <w:t>1900</w:t>
    </w:r>
    <w:proofErr w:type="gramEnd"/>
    <w:r>
      <w:rPr>
        <w:rFonts w:cs="Times New Roman"/>
        <w:b/>
        <w:color w:val="FF0000"/>
        <w:sz w:val="24"/>
      </w:rPr>
      <w:t xml:space="preserve"> 6162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3FA" w:rsidRDefault="00FB63FA" w:rsidP="000D00FF">
      <w:pPr>
        <w:spacing w:after="0" w:line="240" w:lineRule="auto"/>
      </w:pPr>
      <w:r>
        <w:separator/>
      </w:r>
    </w:p>
  </w:footnote>
  <w:footnote w:type="continuationSeparator" w:id="0">
    <w:p w:rsidR="00FB63FA" w:rsidRDefault="00FB63FA" w:rsidP="000D00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0FF" w:rsidRPr="0061129E" w:rsidRDefault="007A2900" w:rsidP="007A2900">
    <w:pPr>
      <w:pStyle w:val="Header"/>
      <w:rPr>
        <w:rFonts w:ascii="Arial" w:hAnsi="Arial" w:cs="Arial"/>
        <w:color w:val="0000FF"/>
        <w:sz w:val="24"/>
        <w:szCs w:val="24"/>
        <w:u w:val="single"/>
      </w:rPr>
    </w:pPr>
    <w:r w:rsidRPr="0061129E">
      <w:rPr>
        <w:rFonts w:ascii="Arial" w:hAnsi="Arial" w:cs="Arial"/>
        <w:b/>
        <w:color w:val="993300"/>
        <w:sz w:val="24"/>
        <w:szCs w:val="24"/>
      </w:rPr>
      <w:t xml:space="preserve">Công ty luật Minh Khuê </w:t>
    </w:r>
    <w:r w:rsidRPr="0061129E">
      <w:rPr>
        <w:rFonts w:ascii="Arial" w:hAnsi="Arial" w:cs="Arial"/>
        <w:b/>
        <w:color w:val="993300"/>
        <w:sz w:val="24"/>
        <w:szCs w:val="24"/>
      </w:rPr>
      <w:tab/>
    </w:r>
    <w:r w:rsidRPr="0061129E">
      <w:rPr>
        <w:rFonts w:ascii="Arial" w:hAnsi="Arial" w:cs="Arial"/>
        <w:b/>
        <w:color w:val="993300"/>
        <w:sz w:val="24"/>
        <w:szCs w:val="24"/>
      </w:rPr>
      <w:tab/>
    </w:r>
    <w:r w:rsidRPr="0061129E">
      <w:rPr>
        <w:rFonts w:ascii="Arial" w:hAnsi="Arial" w:cs="Arial"/>
        <w:color w:val="0000FF"/>
        <w:sz w:val="24"/>
        <w:szCs w:val="24"/>
        <w:u w:val="single"/>
      </w:rPr>
      <w:t>www.luatminhkhue.vn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D00FF"/>
    <w:rsid w:val="000672E6"/>
    <w:rsid w:val="000D00FF"/>
    <w:rsid w:val="00304470"/>
    <w:rsid w:val="00367426"/>
    <w:rsid w:val="003C3A3F"/>
    <w:rsid w:val="0061129E"/>
    <w:rsid w:val="006F1CEA"/>
    <w:rsid w:val="007A135A"/>
    <w:rsid w:val="007A2900"/>
    <w:rsid w:val="007C6E54"/>
    <w:rsid w:val="008558B7"/>
    <w:rsid w:val="0087274E"/>
    <w:rsid w:val="008C513A"/>
    <w:rsid w:val="00967ED0"/>
    <w:rsid w:val="00A33413"/>
    <w:rsid w:val="00C748D5"/>
    <w:rsid w:val="00EC18B1"/>
    <w:rsid w:val="00EF50FB"/>
    <w:rsid w:val="00F3264D"/>
    <w:rsid w:val="00FB6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00F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D00FF"/>
    <w:rPr>
      <w:b/>
      <w:bCs/>
    </w:rPr>
  </w:style>
  <w:style w:type="character" w:styleId="Emphasis">
    <w:name w:val="Emphasis"/>
    <w:basedOn w:val="DefaultParagraphFont"/>
    <w:uiPriority w:val="20"/>
    <w:qFormat/>
    <w:rsid w:val="000D00FF"/>
    <w:rPr>
      <w:i/>
      <w:iCs/>
    </w:rPr>
  </w:style>
  <w:style w:type="character" w:customStyle="1" w:styleId="apple-converted-space">
    <w:name w:val="apple-converted-space"/>
    <w:basedOn w:val="DefaultParagraphFont"/>
    <w:rsid w:val="000D00FF"/>
  </w:style>
  <w:style w:type="character" w:styleId="Hyperlink">
    <w:name w:val="Hyperlink"/>
    <w:basedOn w:val="DefaultParagraphFont"/>
    <w:uiPriority w:val="99"/>
    <w:semiHidden/>
    <w:unhideWhenUsed/>
    <w:rsid w:val="000D00FF"/>
    <w:rPr>
      <w:color w:val="0000FF"/>
      <w:u w:val="single"/>
    </w:rPr>
  </w:style>
  <w:style w:type="paragraph" w:styleId="Header">
    <w:name w:val="header"/>
    <w:basedOn w:val="Normal"/>
    <w:link w:val="HeaderChar"/>
    <w:uiPriority w:val="99"/>
    <w:unhideWhenUsed/>
    <w:rsid w:val="000D0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0FF"/>
  </w:style>
  <w:style w:type="paragraph" w:styleId="Footer">
    <w:name w:val="footer"/>
    <w:basedOn w:val="Normal"/>
    <w:link w:val="FooterChar"/>
    <w:uiPriority w:val="99"/>
    <w:unhideWhenUsed/>
    <w:rsid w:val="000D0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0FF"/>
  </w:style>
  <w:style w:type="paragraph" w:styleId="BalloonText">
    <w:name w:val="Balloon Text"/>
    <w:basedOn w:val="Normal"/>
    <w:link w:val="BalloonTextChar"/>
    <w:uiPriority w:val="99"/>
    <w:semiHidden/>
    <w:unhideWhenUsed/>
    <w:rsid w:val="000D00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0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87384">
      <w:bodyDiv w:val="1"/>
      <w:marLeft w:val="0"/>
      <w:marRight w:val="0"/>
      <w:marTop w:val="0"/>
      <w:marBottom w:val="0"/>
      <w:divBdr>
        <w:top w:val="none" w:sz="0" w:space="0" w:color="auto"/>
        <w:left w:val="none" w:sz="0" w:space="0" w:color="auto"/>
        <w:bottom w:val="none" w:sz="0" w:space="0" w:color="auto"/>
        <w:right w:val="none" w:sz="0" w:space="0" w:color="auto"/>
      </w:divBdr>
      <w:divsChild>
        <w:div w:id="989285637">
          <w:marLeft w:val="0"/>
          <w:marRight w:val="0"/>
          <w:marTop w:val="150"/>
          <w:marBottom w:val="0"/>
          <w:divBdr>
            <w:top w:val="none" w:sz="0" w:space="0" w:color="auto"/>
            <w:left w:val="none" w:sz="0" w:space="0" w:color="auto"/>
            <w:bottom w:val="none" w:sz="0" w:space="0" w:color="auto"/>
            <w:right w:val="none" w:sz="0" w:space="0" w:color="auto"/>
          </w:divBdr>
        </w:div>
        <w:div w:id="1485858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TỔNG ĐÀI TƯ VẤN PHÁP LUẬT TRỰC TUYẾN: 19006162</Company>
  <LinksUpToDate>false</LinksUpToDate>
  <CharactersWithSpaces>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tư liên tịch 191/2014/TTLT-BTC-BTP</dc:title>
  <dc:creator>Công ty Luật Minh Khuê</dc:creator>
  <cp:lastModifiedBy>LMK</cp:lastModifiedBy>
  <cp:revision>7</cp:revision>
  <dcterms:created xsi:type="dcterms:W3CDTF">2015-04-09T14:01:00Z</dcterms:created>
  <dcterms:modified xsi:type="dcterms:W3CDTF">2024-07-10T10:33:00Z</dcterms:modified>
</cp:coreProperties>
</file>