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
              <w:jc w:val="center"/>
              <w:rPr>
                <w:vanish w:val="0"/>
              </w:rPr>
            </w:pPr>
            <w:r>
              <w:rPr>
                <w:b/>
              </w:rPr>
              <w:t xml:space="preserve">BỘ GIAO THÔNG VẬN TẢI</w:t>
            </w:r>
            <w:r>
              <w:rPr>
                <w:b/>
              </w:rPr>
              <w:br/>
            </w:r>
            <w:r>
              <w:rPr>
                <w:b/>
              </w:rPr>
              <w:t xml:space="preserve">-------</w:t>
            </w:r>
          </w:p>
          <w:p>
            <w:pPr>
              <w:pStyle w:val="Normal(Web)"/>
              <w:divId w:val="3"/>
              <w:jc w:val="center"/>
              <w:rPr>
                <w:vanish w:val="0"/>
              </w:rPr>
            </w:pPr>
            <w:r>
              <w:t xml:space="preserve">Số: </w:t>
            </w:r>
            <w:hyperlink r:id="rId3" w:history="1">
              <w:r>
                <w:rPr>
                  <w:rStyle w:val="Hyperlink"/>
                </w:rPr>
                <w:t xml:space="preserve">86/2014/TT-BGTVT </w:t>
              </w:r>
            </w:hyperlink>
            <w:r>
              <w:t xml:space="preserve"> </w:t>
            </w:r>
          </w:p>
        </w:tc>
        <w:tc>
          <w:tcPr>
            <w:tcW w:w="0" w:type="auto"/>
            <w:shd w:val="clear" w:color="auto" w:fill="auto"/>
            <w:vAlign w:val="center"/>
          </w:tcPr>
          <w:p>
            <w:pPr>
              <w:pStyle w:val="Normal(Web)"/>
              <w:divId w:val="4"/>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5"/>
              <w:jc w:val="right"/>
              <w:rPr>
                <w:vanish w:val="0"/>
              </w:rPr>
            </w:pPr>
            <w:r>
              <w:rPr>
                <w:i/>
              </w:rPr>
              <w:t xml:space="preserve">Hà Nội, ngày 31 tháng 12 năm 2014</w:t>
            </w:r>
          </w:p>
        </w:tc>
      </w:tr>
    </w:tbl>
    <w:p>
      <w:pPr>
        <w:pStyle w:val="Normal(Web)"/>
        <w:divId w:val="6"/>
        <w:jc w:val="center"/>
        <w:rPr>
          <w:vanish w:val="0"/>
        </w:rPr>
      </w:pPr>
      <w:r>
        <w:rPr>
          <w:b/>
        </w:rPr>
        <w:t xml:space="preserve">THÔNG TƯ</w:t>
      </w:r>
    </w:p>
    <w:p>
      <w:pPr>
        <w:pStyle w:val="Normal(Web)"/>
        <w:divId w:val="7"/>
        <w:jc w:val="center"/>
        <w:rPr>
          <w:vanish w:val="0"/>
        </w:rPr>
      </w:pPr>
      <w:r>
        <w:t xml:space="preserve">QUY ĐỊNH VỀ ĐIỀU KIỆN ĐỐI VỚI XE CHỞ NGƯỜI BỐN BÁNH CÓ GẮN ĐỘNG CƠ VÀ NGƯỜI ĐIỀU KHIỂN THAM GIA GIAO THÔNG TRONG PHẠM VI HẠN CHẾ</w:t>
      </w:r>
    </w:p>
    <w:p>
      <w:pPr>
        <w:pStyle w:val="Normal(Web)"/>
        <w:divId w:val="8"/>
        <w:rPr>
          <w:vanish w:val="0"/>
        </w:rPr>
      </w:pPr>
      <w:r>
        <w:rPr>
          <w:i/>
        </w:rPr>
        <w:t xml:space="preserve">Căn cứ Luật Giao thông đường bộ </w:t>
      </w:r>
      <w:r>
        <w:rPr>
          <w:i/>
        </w:rPr>
        <w:t xml:space="preserve">ngày</w:t>
      </w:r>
      <w:r>
        <w:rPr>
          <w:i/>
        </w:rPr>
        <w:t xml:space="preserve"> 13 tháng 11 năm 2008;</w:t>
      </w:r>
    </w:p>
    <w:p>
      <w:pPr>
        <w:pStyle w:val="Normal(Web)"/>
        <w:divId w:val="9"/>
        <w:rPr>
          <w:vanish w:val="0"/>
        </w:rPr>
      </w:pPr>
      <w:r>
        <w:rPr>
          <w:i/>
        </w:rPr>
        <w:t xml:space="preserve">Căn cứ Luật Chất lượng sản phẩm, hàng hóa </w:t>
      </w:r>
      <w:r>
        <w:rPr>
          <w:i/>
        </w:rPr>
        <w:t xml:space="preserve">ngày</w:t>
      </w:r>
      <w:r>
        <w:rPr>
          <w:i/>
        </w:rPr>
        <w:t xml:space="preserve"> 21 </w:t>
      </w:r>
      <w:r>
        <w:rPr>
          <w:i/>
        </w:rPr>
        <w:t xml:space="preserve">tháng</w:t>
      </w:r>
      <w:r>
        <w:rPr>
          <w:i/>
        </w:rPr>
        <w:t xml:space="preserve"> 11 năm 2007;</w:t>
      </w:r>
    </w:p>
    <w:p>
      <w:pPr>
        <w:pStyle w:val="Normal(Web)"/>
        <w:divId w:val="10"/>
        <w:rPr>
          <w:vanish w:val="0"/>
        </w:rPr>
      </w:pPr>
      <w:r>
        <w:rPr>
          <w:i/>
        </w:rPr>
        <w:t xml:space="preserve">Căn cứ Luật Bảo vệ quyền lợi người tiêu dùng ngày 17 </w:t>
      </w:r>
      <w:r>
        <w:rPr>
          <w:i/>
        </w:rPr>
        <w:t xml:space="preserve">tháng</w:t>
      </w:r>
      <w:r>
        <w:rPr>
          <w:i/>
        </w:rPr>
        <w:t xml:space="preserve"> 11 năm 2010;</w:t>
      </w:r>
    </w:p>
    <w:p>
      <w:pPr>
        <w:pStyle w:val="Normal(Web)"/>
        <w:divId w:val="11"/>
        <w:rPr>
          <w:vanish w:val="0"/>
        </w:rPr>
      </w:pPr>
      <w:r>
        <w:rPr>
          <w:i/>
        </w:rPr>
        <w:t xml:space="preserve">Căn cứ Nghị định số 132/2008/NĐ-CP ngày 31 tháng 12 năm 2008 của</w:t>
      </w:r>
      <w:r>
        <w:rPr>
          <w:i/>
        </w:rPr>
        <w:t xml:space="preserve">Chính phủ</w:t>
      </w:r>
      <w:r>
        <w:rPr>
          <w:i/>
        </w:rPr>
        <w:t xml:space="preserve"> quy định chi tiết thi hành một số điều của Luật Chất lượng sản phẩm, hàng </w:t>
      </w:r>
      <w:r>
        <w:rPr>
          <w:i/>
        </w:rPr>
        <w:t xml:space="preserve">hóa</w:t>
      </w:r>
      <w:r>
        <w:rPr>
          <w:i/>
        </w:rPr>
        <w:t xml:space="preserve">;</w:t>
      </w:r>
    </w:p>
    <w:p>
      <w:pPr>
        <w:pStyle w:val="Normal(Web)"/>
        <w:divId w:val="12"/>
        <w:rPr>
          <w:vanish w:val="0"/>
        </w:rPr>
      </w:pPr>
      <w:r>
        <w:rPr>
          <w:i/>
        </w:rPr>
        <w:t xml:space="preserve">Căn cứ Nghị định số 171/2013/NĐ-CP ngày 13</w:t>
      </w:r>
      <w:r>
        <w:rPr>
          <w:i/>
        </w:rPr>
        <w:t xml:space="preserve">tháng</w:t>
      </w:r>
      <w:r>
        <w:rPr>
          <w:i/>
        </w:rPr>
        <w:t xml:space="preserve"> 11 năm 2013 của </w:t>
      </w:r>
      <w:r>
        <w:rPr>
          <w:i/>
        </w:rPr>
        <w:t xml:space="preserve">Chính phủ</w:t>
      </w:r>
      <w:r>
        <w:rPr>
          <w:i/>
        </w:rPr>
        <w:t xml:space="preserve"> quy định xử phạt vi phạm hành chính trong lĩnh vực giao thông đường bộ và đường sắt;</w:t>
      </w:r>
    </w:p>
    <w:p>
      <w:pPr>
        <w:pStyle w:val="Normal(Web)"/>
        <w:divId w:val="13"/>
        <w:rPr>
          <w:vanish w:val="0"/>
        </w:rPr>
      </w:pPr>
      <w:r>
        <w:rPr>
          <w:i/>
        </w:rPr>
        <w:t xml:space="preserve">Căn cứ Nghị định số 107/2012/NĐ-CP ngày 20 tháng 12 năm 2012 của</w:t>
      </w:r>
      <w:r>
        <w:rPr>
          <w:i/>
        </w:rPr>
        <w:t xml:space="preserve">Chính phủ</w:t>
      </w:r>
      <w:r>
        <w:rPr>
          <w:i/>
        </w:rPr>
        <w:t xml:space="preserve"> quy định chức năng, nhiệm vụ, quyền hạn và cơ cấu </w:t>
      </w:r>
      <w:r>
        <w:rPr>
          <w:i/>
        </w:rPr>
        <w:t xml:space="preserve">tổ chức</w:t>
      </w:r>
      <w:r>
        <w:rPr>
          <w:i/>
        </w:rPr>
        <w:t xml:space="preserve"> của Bộ Giao thông vận tải;</w:t>
      </w:r>
    </w:p>
    <w:p>
      <w:pPr>
        <w:pStyle w:val="Normal(Web)"/>
        <w:divId w:val="14"/>
        <w:rPr>
          <w:vanish w:val="0"/>
        </w:rPr>
      </w:pPr>
      <w:r>
        <w:rPr>
          <w:i/>
        </w:rPr>
        <w:t xml:space="preserve">Theo đề nghị của Vụ trưởng Vụ Khoa học - Công nghệ và Cục trưởng Cục Đăng kiểm Việt Nam,</w:t>
      </w:r>
    </w:p>
    <w:p>
      <w:pPr>
        <w:pStyle w:val="Normal(Web)"/>
        <w:divId w:val="15"/>
        <w:rPr>
          <w:vanish w:val="0"/>
        </w:rPr>
      </w:pPr>
      <w:r>
        <w:rPr>
          <w:i/>
        </w:rPr>
        <w:t xml:space="preserve">Bộ trưởng Bộ Giao thông vận tải ban hành Thông tư quy định về điều kiện đối với xe chở người bốn bánh có gắn động cơ và người điều khiển tham gia giao thông trong phạm vi hạn chế.</w:t>
      </w:r>
    </w:p>
    <w:p>
      <w:pPr>
        <w:pStyle w:val="Normal(Web)"/>
        <w:divId w:val="16"/>
        <w:jc w:val="center"/>
        <w:rPr>
          <w:vanish w:val="0"/>
        </w:rPr>
      </w:pPr>
      <w:r>
        <w:rPr>
          <w:b/>
        </w:rPr>
        <w:t xml:space="preserve">Chương I</w:t>
      </w:r>
    </w:p>
    <w:p>
      <w:pPr>
        <w:pStyle w:val="Normal(Web)"/>
        <w:divId w:val="17"/>
        <w:jc w:val="center"/>
        <w:rPr>
          <w:vanish w:val="0"/>
        </w:rPr>
      </w:pPr>
      <w:r>
        <w:t xml:space="preserve">QUY ĐỊNH CHUNG</w:t>
      </w:r>
    </w:p>
    <w:p>
      <w:pPr>
        <w:pStyle w:val="Normal(Web)"/>
        <w:divId w:val="18"/>
        <w:rPr>
          <w:vanish w:val="0"/>
        </w:rPr>
      </w:pPr>
      <w:r>
        <w:t xml:space="preserve">Điều 1. Phạm vi điều chỉnh</w:t>
      </w:r>
    </w:p>
    <w:p>
      <w:pPr>
        <w:pStyle w:val="Normal(Web)"/>
        <w:divId w:val="19"/>
        <w:rPr>
          <w:vanish w:val="0"/>
        </w:rPr>
      </w:pPr>
      <w:r>
        <w:t xml:space="preserve">1. Thông tư này quy định đối với xe chở người bốn bánh có gắn động cơ (sau đây gọi tắt là Xe) về:</w:t>
      </w:r>
    </w:p>
    <w:p>
      <w:pPr>
        <w:pStyle w:val="Normal(Web)"/>
        <w:divId w:val="20"/>
        <w:rPr>
          <w:vanish w:val="0"/>
        </w:rPr>
      </w:pPr>
      <w:r>
        <w:t xml:space="preserve">a) Kiểm tra chất lượng an toàn kỹ thuật và bảo vệ môi trường trong sản xuất, lắp ráp và nhập khẩu;</w:t>
      </w:r>
    </w:p>
    <w:p>
      <w:pPr>
        <w:pStyle w:val="Normal(Web)"/>
        <w:divId w:val="21"/>
        <w:rPr>
          <w:vanish w:val="0"/>
        </w:rPr>
      </w:pPr>
      <w:r>
        <w:t xml:space="preserve">b) Kiểm tra an toàn kỹ thuật và bảo vệ môi trường khi tham gia giao thông trong phạm vi hạn chế;</w:t>
      </w:r>
    </w:p>
    <w:p>
      <w:pPr>
        <w:pStyle w:val="Normal(Web)"/>
        <w:divId w:val="22"/>
        <w:rPr>
          <w:vanish w:val="0"/>
        </w:rPr>
      </w:pPr>
      <w:r>
        <w:t xml:space="preserve">c) Điều kiện tham gia giao thông trong phạm vi hạn chế đối với Xe và người điều khiển Xe.</w:t>
      </w:r>
    </w:p>
    <w:p>
      <w:pPr>
        <w:pStyle w:val="Normal(Web)"/>
        <w:divId w:val="23"/>
        <w:rPr>
          <w:vanish w:val="0"/>
        </w:rPr>
      </w:pPr>
      <w:r>
        <w:t xml:space="preserve">2. Thông tư này không quy định đối với Xe sử dụng vào mục đích quốc phòng, an ninh của Bộ </w:t>
      </w:r>
      <w:r>
        <w:t xml:space="preserve">Quốc</w:t>
      </w:r>
      <w:r>
        <w:t xml:space="preserve"> phòng, Bộ Công an.</w:t>
      </w:r>
    </w:p>
    <w:p>
      <w:pPr>
        <w:pStyle w:val="Normal(Web)"/>
        <w:divId w:val="24"/>
        <w:rPr>
          <w:vanish w:val="0"/>
        </w:rPr>
      </w:pPr>
      <w:r>
        <w:t xml:space="preserve">Điều 2. Đối tượng áp dụng</w:t>
      </w:r>
    </w:p>
    <w:p>
      <w:pPr>
        <w:pStyle w:val="Normal(Web)"/>
        <w:divId w:val="25"/>
        <w:rPr>
          <w:vanish w:val="0"/>
        </w:rPr>
      </w:pPr>
      <w:r>
        <w:t xml:space="preserve">Thông tư này áp dụng đối với các cơ quan, tổ chức, cá nhân có liên quan đến quản lý, sản xuất, lắp ráp, nhập khẩu, thử nghiệm, kiểm tra chất lượng, chứng nhận chất lượng và khai thác sử dụng Xe.</w:t>
      </w:r>
    </w:p>
    <w:p>
      <w:pPr>
        <w:pStyle w:val="Normal(Web)"/>
        <w:divId w:val="26"/>
        <w:rPr>
          <w:vanish w:val="0"/>
        </w:rPr>
      </w:pPr>
      <w:r>
        <w:t xml:space="preserve">Điều 3. Giải thích từ ngữ</w:t>
      </w:r>
    </w:p>
    <w:p>
      <w:pPr>
        <w:pStyle w:val="Normal(Web)"/>
        <w:divId w:val="27"/>
        <w:rPr>
          <w:vanish w:val="0"/>
        </w:rPr>
      </w:pPr>
      <w:r>
        <w:t xml:space="preserve">Trong Thông tư này, các từ ngữ dưới đây được hiểu như sau:</w:t>
      </w:r>
    </w:p>
    <w:p>
      <w:pPr>
        <w:pStyle w:val="Normal(Web)"/>
        <w:divId w:val="28"/>
        <w:rPr>
          <w:vanish w:val="0"/>
        </w:rPr>
      </w:pPr>
      <w:r>
        <w:t xml:space="preserve">1. </w:t>
      </w:r>
      <w:r>
        <w:rPr>
          <w:i/>
        </w:rPr>
        <w:t xml:space="preserve">Xe chở người bốn bánh có gắn động cơ</w:t>
      </w:r>
      <w:r>
        <w:t xml:space="preserve"> là phương tiện giao thông cơ giới đường bộ chạy bằng động cơ, có kết cấu để chở người, hai trục, ít nhất bốn bánh xe, vận tốc thiết kế lớn nhất không lớn hơn 30 km/h, số chỗ ngồi tối đa không quá 15 chỗ (kể cả chỗ ngồi của người lái).</w:t>
      </w:r>
    </w:p>
    <w:p>
      <w:pPr>
        <w:pStyle w:val="Normal(Web)"/>
        <w:divId w:val="29"/>
        <w:rPr>
          <w:vanish w:val="0"/>
        </w:rPr>
      </w:pPr>
      <w:r>
        <w:t xml:space="preserve">2. </w:t>
      </w:r>
      <w:r>
        <w:rPr>
          <w:i/>
        </w:rPr>
        <w:t xml:space="preserve">Xe cùng kiểu loại</w:t>
      </w:r>
      <w:r>
        <w:t xml:space="preserve"> là các Xe của cùng một chủ sở hữu công nghiệp, cùng nhãn hiệu, thiết kế và các thông số kỹ thuật, được sản xuất trên cùng một dây chuyền công nghệ.</w:t>
      </w:r>
    </w:p>
    <w:p>
      <w:pPr>
        <w:pStyle w:val="Normal(Web)"/>
        <w:divId w:val="30"/>
        <w:rPr>
          <w:vanish w:val="0"/>
        </w:rPr>
      </w:pPr>
      <w:r>
        <w:t xml:space="preserve">3. </w:t>
      </w:r>
      <w:r>
        <w:rPr>
          <w:i/>
        </w:rPr>
        <w:t xml:space="preserve">Chứng nhận chất lượng kiểu loại Xe</w:t>
      </w:r>
      <w:r>
        <w:t xml:space="preserve"> là quá trình kiểm tra, thử nghiệm, xem xét, đánh giá và chứng nhận sự phù hợp của một kiểu </w:t>
      </w:r>
      <w:r>
        <w:t xml:space="preserve">loại</w:t>
      </w:r>
      <w:r>
        <w:t xml:space="preserve"> Xe với các yêu cầu quy định tại Thông tư này về chất lượng an toàn kỹ thuật và bảo vệ môi trường.</w:t>
      </w:r>
    </w:p>
    <w:p>
      <w:pPr>
        <w:pStyle w:val="Normal(Web)"/>
        <w:divId w:val="31"/>
        <w:rPr>
          <w:vanish w:val="0"/>
        </w:rPr>
      </w:pPr>
      <w:r>
        <w:t xml:space="preserve">4. </w:t>
      </w:r>
      <w:r>
        <w:rPr>
          <w:i/>
        </w:rPr>
        <w:t xml:space="preserve">Mẫu thử nghiệm</w:t>
      </w:r>
      <w:r>
        <w:t xml:space="preserve"> là mẫu điển hình do Cơ sở sản xuất tự lựa chọn hoặc mẫu do Cục Đăng kiểm Việt Nam lấy ngẫu nhiên để thực hiện việc thử nghiệm.</w:t>
      </w:r>
    </w:p>
    <w:p>
      <w:pPr>
        <w:pStyle w:val="Normal(Web)"/>
        <w:divId w:val="32"/>
        <w:rPr>
          <w:vanish w:val="0"/>
        </w:rPr>
      </w:pPr>
      <w:r>
        <w:t xml:space="preserve">5. </w:t>
      </w:r>
      <w:r>
        <w:rPr>
          <w:i/>
        </w:rPr>
        <w:t xml:space="preserve">Cơ sở thử nghiệm</w:t>
      </w:r>
      <w:r>
        <w:t xml:space="preserve"> là tổ chức hoạt động trong lĩnh vực thử nghiệm linh kiện hoặc xe cơ giới để thực hiện thử nghiệm linh kiện hoặc xe cơ giới theo tiêu chuẩn, quy chuẩn kỹ thuật quốc gia tương ứng và các văn bản quy phạm pháp luật liên quan.</w:t>
      </w:r>
    </w:p>
    <w:p>
      <w:pPr>
        <w:pStyle w:val="Normal(Web)"/>
        <w:divId w:val="33"/>
        <w:rPr>
          <w:vanish w:val="0"/>
        </w:rPr>
      </w:pPr>
      <w:r>
        <w:t xml:space="preserve">6. </w:t>
      </w:r>
      <w:r>
        <w:rPr>
          <w:i/>
        </w:rPr>
        <w:t xml:space="preserve">Cơ sở sản xuất</w:t>
      </w:r>
      <w:r>
        <w:t xml:space="preserve"> là doanh nghiệp sản xuất, lắp ráp Xe, có đủ điều kiện cơ sở vật chất kỹ thuật theo quy định.</w:t>
      </w:r>
    </w:p>
    <w:p>
      <w:pPr>
        <w:pStyle w:val="Normal(Web)"/>
        <w:divId w:val="34"/>
        <w:rPr>
          <w:vanish w:val="0"/>
        </w:rPr>
      </w:pPr>
      <w:r>
        <w:t xml:space="preserve">7. </w:t>
      </w:r>
      <w:r>
        <w:rPr>
          <w:i/>
        </w:rPr>
        <w:t xml:space="preserve">Cơ sở nhập khẩu</w:t>
      </w:r>
      <w:r>
        <w:t xml:space="preserve"> là tổ chức, cá nhân thực hiện việc nhập khẩu Xe.</w:t>
      </w:r>
    </w:p>
    <w:p>
      <w:pPr>
        <w:pStyle w:val="Normal(Web)"/>
        <w:divId w:val="35"/>
        <w:rPr>
          <w:vanish w:val="0"/>
        </w:rPr>
      </w:pPr>
      <w:r>
        <w:t xml:space="preserve">8. </w:t>
      </w:r>
      <w:r>
        <w:rPr>
          <w:i/>
        </w:rPr>
        <w:t xml:space="preserve">Xe bị lỗi kỹ thuật</w:t>
      </w:r>
      <w:r>
        <w:t xml:space="preserve"> là Xe có lỗi trong quá trình thiết kế, sản xuất, lắp ráp có khả năng gây nguy hiểm đến an toàn tính mạng và tài sản của người </w:t>
      </w:r>
      <w:r>
        <w:t xml:space="preserve">sử dụng</w:t>
      </w:r>
      <w:r>
        <w:t xml:space="preserve"> cũng như gây ảnh hưởng xấu đến an toàn và môi trường của cộng đồng.</w:t>
      </w:r>
    </w:p>
    <w:p>
      <w:pPr>
        <w:pStyle w:val="Normal(Web)"/>
        <w:divId w:val="36"/>
        <w:rPr>
          <w:vanish w:val="0"/>
        </w:rPr>
      </w:pPr>
      <w:r>
        <w:t xml:space="preserve">9. </w:t>
      </w:r>
      <w:r>
        <w:rPr>
          <w:i/>
        </w:rPr>
        <w:t xml:space="preserve">Triệu hồi Xe</w:t>
      </w:r>
      <w:r>
        <w:t xml:space="preserve"> là việc Cơ sở sản xuất thu hồi các Xe thuộc lô, kiểu loại Xe bị lỗi kỹ thuật mà Cơ sở sản xuất đã cung cấp ra thị trường nhằm sửa chữa, thay thế phụ tùng hay thay thế bằng sản phẩm khác để ngăn ngừa các nguy hiểm có thể xảy ra do các lỗi trong quá trình thiết kế, sản xuất, lắp ráp Xe.</w:t>
      </w:r>
    </w:p>
    <w:p>
      <w:pPr>
        <w:pStyle w:val="Normal(Web)"/>
        <w:divId w:val="37"/>
        <w:rPr>
          <w:vanish w:val="0"/>
        </w:rPr>
      </w:pPr>
      <w:r>
        <w:t xml:space="preserve">10. </w:t>
      </w:r>
      <w:r>
        <w:rPr>
          <w:i/>
        </w:rPr>
        <w:t xml:space="preserve">Xe tham gia giao thông trong phạm vi hạn chế</w:t>
      </w:r>
      <w:r>
        <w:t xml:space="preserve"> là Xe chỉ hoạt động trên tuyến đường và thời gian theo quy định của </w:t>
      </w:r>
      <w:r>
        <w:t xml:space="preserve">Ủy ban</w:t>
      </w:r>
      <w:r>
        <w:t xml:space="preserve"> nhân dân các tỉnh, thành phố trực thuộc Trung ương.</w:t>
      </w:r>
    </w:p>
    <w:p>
      <w:pPr>
        <w:pStyle w:val="Normal(Web)"/>
        <w:divId w:val="38"/>
        <w:rPr>
          <w:vanish w:val="0"/>
        </w:rPr>
      </w:pPr>
      <w:r>
        <w:t xml:space="preserve">11. </w:t>
      </w:r>
      <w:r>
        <w:rPr>
          <w:i/>
        </w:rPr>
        <w:t xml:space="preserve">Xe không tham gia giao thông</w:t>
      </w:r>
      <w:r>
        <w:t xml:space="preserve"> là Xe chỉ hoạt động trên đường chuyên dùng nội bộ của các cơ quan, </w:t>
      </w:r>
      <w:r>
        <w:t xml:space="preserve">đơn vị</w:t>
      </w:r>
      <w:r>
        <w:t xml:space="preserve">.</w:t>
      </w:r>
    </w:p>
    <w:p>
      <w:pPr>
        <w:pStyle w:val="Normal(Web)"/>
        <w:divId w:val="39"/>
        <w:rPr>
          <w:vanish w:val="0"/>
        </w:rPr>
      </w:pPr>
      <w:r>
        <w:t xml:space="preserve">12. </w:t>
      </w:r>
      <w:r>
        <w:rPr>
          <w:i/>
        </w:rPr>
        <w:t xml:space="preserve">Kiểm tra an toàn kỹ thuật và bảo vệ môi trường đối với Xe tham gia giao thông trong phạm vi hạn chế (sau đây gọi tắt là </w:t>
      </w:r>
      <w:r>
        <w:rPr>
          <w:i/>
        </w:rPr>
        <w:t xml:space="preserve">kiểm tra</w:t>
      </w:r>
      <w:r>
        <w:rPr>
          <w:i/>
        </w:rPr>
        <w:t xml:space="preserve"> lưu hành)</w:t>
      </w:r>
      <w:r>
        <w:t xml:space="preserve"> là việc tiến hành kiểm tra, đánh giá tình trạng an toàn kỹ thuật và bảo vệ môi trường của Xe để chứng nhận xe có đủ điều kiện tham gia giao thông trong phạm vi hạn chế.</w:t>
      </w:r>
    </w:p>
    <w:p>
      <w:pPr>
        <w:pStyle w:val="Normal(Web)"/>
        <w:divId w:val="40"/>
        <w:jc w:val="center"/>
        <w:rPr>
          <w:vanish w:val="0"/>
        </w:rPr>
      </w:pPr>
      <w:r>
        <w:rPr>
          <w:b/>
        </w:rPr>
        <w:t xml:space="preserve">Chương II</w:t>
      </w:r>
    </w:p>
    <w:p>
      <w:pPr>
        <w:pStyle w:val="Normal(Web)"/>
        <w:divId w:val="41"/>
        <w:jc w:val="center"/>
        <w:rPr>
          <w:vanish w:val="0"/>
        </w:rPr>
      </w:pPr>
      <w:r>
        <w:t xml:space="preserve">QUY ĐỊNH VỀ KIỂM TRA CHẤT LƯỢNG AN TOÀN KỸ THUẬT VÀ BẢO VỆ MÔI TRƯỜNG XE SẢN XUẤT, LẮP RÁP</w:t>
      </w:r>
    </w:p>
    <w:p>
      <w:pPr>
        <w:pStyle w:val="Normal(Web)"/>
        <w:divId w:val="42"/>
        <w:rPr>
          <w:vanish w:val="0"/>
        </w:rPr>
      </w:pPr>
      <w:r>
        <w:t xml:space="preserve">Điều 4. Kiểm tra, thử nghiệm mẫu</w:t>
      </w:r>
    </w:p>
    <w:p>
      <w:pPr>
        <w:pStyle w:val="Normal(Web)"/>
        <w:divId w:val="43"/>
        <w:rPr>
          <w:vanish w:val="0"/>
        </w:rPr>
      </w:pPr>
      <w:r>
        <w:t xml:space="preserve">1. Hạng mục </w:t>
      </w:r>
      <w:r>
        <w:t xml:space="preserve">kiểm tra</w:t>
      </w:r>
      <w:r>
        <w:t xml:space="preserve">, thử nghiệm</w:t>
      </w:r>
    </w:p>
    <w:p>
      <w:pPr>
        <w:pStyle w:val="Normal(Web)"/>
        <w:divId w:val="44"/>
        <w:rPr>
          <w:vanish w:val="0"/>
        </w:rPr>
      </w:pPr>
      <w:r>
        <w:t xml:space="preserve">a) Đối với Xe tham gia giao thông trong phạm vi hạn chế: Kiểm tra, thử nghiệm các hạng mục quy định tại Phụ lục I ban hành kèm theo Thông tư này;</w:t>
      </w:r>
    </w:p>
    <w:p>
      <w:pPr>
        <w:pStyle w:val="Normal(Web)"/>
        <w:divId w:val="45"/>
        <w:rPr>
          <w:vanish w:val="0"/>
        </w:rPr>
      </w:pPr>
      <w:r>
        <w:t xml:space="preserve">b) Đối với Xe không tham gia giao thông: Kiểm tra đối chiếu các thông số kỹ thuật quy định tại Phụ lục II ban hành kèm theo Thông tư này.</w:t>
      </w:r>
    </w:p>
    <w:p>
      <w:pPr>
        <w:pStyle w:val="Normal(Web)"/>
        <w:divId w:val="46"/>
        <w:rPr>
          <w:vanish w:val="0"/>
        </w:rPr>
      </w:pPr>
      <w:r>
        <w:t xml:space="preserve">2. Cơ sở thử nghiệm thực hiện việc kiểm tra, thử nghiệm Xe mẫu theo đúng quy trình tương ứng với các yêu cầu quy định tại Thông tư này; lập báo cáo kết quả kiểm tra, thử nghiệm theo mẫu quy định. Trong </w:t>
      </w:r>
      <w:r>
        <w:t xml:space="preserve">trường hợp</w:t>
      </w:r>
      <w:r>
        <w:t xml:space="preserve"> cần thiết, Cục Đăng kiểm Việt Nam trực tiếp giám sát việc kiểm tra, thử nghiệm.</w:t>
      </w:r>
    </w:p>
    <w:p>
      <w:pPr>
        <w:pStyle w:val="Normal(Web)"/>
        <w:divId w:val="47"/>
        <w:rPr>
          <w:vanish w:val="0"/>
        </w:rPr>
      </w:pPr>
      <w:r>
        <w:t xml:space="preserve">3. Số lượng mẫu thử nghiệm: 01 Xe mẫu hoàn chỉnh (thêm 01 bộ ắc quy đã nạp đầy điện đối với Xe sử dụng động cơ điện).</w:t>
      </w:r>
    </w:p>
    <w:p>
      <w:pPr>
        <w:pStyle w:val="Normal(Web)"/>
        <w:divId w:val="48"/>
        <w:rPr>
          <w:vanish w:val="0"/>
        </w:rPr>
      </w:pPr>
      <w:r>
        <w:t xml:space="preserve">4. Sau khi kiểm tra, thử nghiệm và lập báo cáo kết quả kiểm tra, thử nghiệm, Cơ sở thử nghiệm trả Xe mẫu và Báo cáo kết quả kiểm tra, thử nghiệm cho Cơ sở sản xuất, Cơ sở nhập khẩu.</w:t>
      </w:r>
    </w:p>
    <w:p>
      <w:pPr>
        <w:pStyle w:val="Normal(Web)"/>
        <w:divId w:val="49"/>
        <w:rPr>
          <w:vanish w:val="0"/>
        </w:rPr>
      </w:pPr>
      <w:r>
        <w:t xml:space="preserve">Điều 5. Hồ sơ đăng ký chứng nhận chất Iượng kiểu loại Xe</w:t>
      </w:r>
    </w:p>
    <w:p>
      <w:pPr>
        <w:pStyle w:val="Normal(Web)"/>
        <w:divId w:val="50"/>
        <w:rPr>
          <w:vanish w:val="0"/>
        </w:rPr>
      </w:pPr>
      <w:r>
        <w:t xml:space="preserve">Hồ sơ đăng ký chứng nhận chất lượng kiểu loại Xe (sau đây gọi chung là hồ sơ đăng ký chứng nhận) bao gồm:</w:t>
      </w:r>
    </w:p>
    <w:p>
      <w:pPr>
        <w:pStyle w:val="Normal(Web)"/>
        <w:divId w:val="51"/>
        <w:rPr>
          <w:vanish w:val="0"/>
        </w:rPr>
      </w:pPr>
      <w:r>
        <w:t xml:space="preserve">1. Bản đăng ký thông số kỹ thuật theo mẫu quy định tại Phụ lục II ban hành kèm theo Thông tư này.</w:t>
      </w:r>
    </w:p>
    <w:p>
      <w:pPr>
        <w:pStyle w:val="Normal(Web)"/>
        <w:divId w:val="52"/>
        <w:rPr>
          <w:vanish w:val="0"/>
        </w:rPr>
      </w:pPr>
      <w:r>
        <w:t xml:space="preserve">2. Bản chính Báo cáo kết quả kiểm tra, thử nghiệm Xe.</w:t>
      </w:r>
    </w:p>
    <w:p>
      <w:pPr>
        <w:pStyle w:val="Normal(Web)"/>
        <w:divId w:val="53"/>
        <w:rPr>
          <w:vanish w:val="0"/>
        </w:rPr>
      </w:pPr>
      <w:r>
        <w:t xml:space="preserve">3. Bản mô tả quy trình công nghệ sản xuất, lắp ráp và kiểm tra chất lượng Xe.</w:t>
      </w:r>
    </w:p>
    <w:p>
      <w:pPr>
        <w:pStyle w:val="Normal(Web)"/>
        <w:divId w:val="54"/>
        <w:rPr>
          <w:vanish w:val="0"/>
        </w:rPr>
      </w:pPr>
      <w:r>
        <w:t xml:space="preserve">4. Hướng dẫn sử dụng Xe trong đó có các thông số kỹ thuật chính, cách thức </w:t>
      </w:r>
      <w:r>
        <w:t xml:space="preserve">sử dụng</w:t>
      </w:r>
      <w:r>
        <w:t xml:space="preserve"> các thiết bị của Xe, h</w:t>
      </w:r>
      <w:r>
        <w:t xml:space="preserve">ướ</w:t>
      </w:r>
      <w:r>
        <w:t xml:space="preserve">ng dẫn về an toàn phòng, chống cháy nổ và bảo vệ môi trường; Phiếu bảo hành (ghi rõ điều kiện bảo hành và địa chỉ các cơ sở bảo hành).</w:t>
      </w:r>
    </w:p>
    <w:p>
      <w:pPr>
        <w:pStyle w:val="Normal(Web)"/>
        <w:divId w:val="55"/>
        <w:rPr>
          <w:vanish w:val="0"/>
        </w:rPr>
      </w:pPr>
      <w:r>
        <w:t xml:space="preserve">5. Bản sao Giấy chứng nhận đăng ký kinh doanh hoặc đầu tư đối với Cơ sở sản xuất lần đầu tiên sản xuất, lắp ráp Xe.</w:t>
      </w:r>
    </w:p>
    <w:p>
      <w:pPr>
        <w:pStyle w:val="Normal(Web)"/>
        <w:divId w:val="56"/>
        <w:rPr>
          <w:vanish w:val="0"/>
        </w:rPr>
      </w:pPr>
      <w:r>
        <w:t xml:space="preserve">6. Bản cam kết của Cơ sở sản xuất về việc kiểu loại Xe đề nghị chứng nhận không xâm phạm quyền sở hữu công nghiệp đang được bảo hộ và Cơ sở </w:t>
      </w:r>
      <w:r>
        <w:t xml:space="preserve">sản xuất</w:t>
      </w:r>
      <w:r>
        <w:t xml:space="preserve"> tự chịu trách nhiệm theo quy định của pháp luật nếu có xảy ra tranh chấp về sở hữu công nghiệp.</w:t>
      </w:r>
    </w:p>
    <w:p>
      <w:pPr>
        <w:pStyle w:val="Normal(Web)"/>
        <w:divId w:val="57"/>
        <w:rPr>
          <w:vanish w:val="0"/>
        </w:rPr>
      </w:pPr>
      <w:r>
        <w:t xml:space="preserve">Điều 6. Đánh giá điều kiện đảm bảo chất lượng tại Cơ sở sản xuất</w:t>
      </w:r>
    </w:p>
    <w:p>
      <w:pPr>
        <w:pStyle w:val="Normal(Web)"/>
        <w:divId w:val="58"/>
        <w:rPr>
          <w:vanish w:val="0"/>
        </w:rPr>
      </w:pPr>
      <w:r>
        <w:t xml:space="preserve">1. Để đảm bảo việc duy trì chất lượng các Xe sản xuất hàng loạt, Cơ sở sản xuất phải đáp ứng các yêu cầu sau:</w:t>
      </w:r>
    </w:p>
    <w:p>
      <w:pPr>
        <w:pStyle w:val="Normal(Web)"/>
        <w:divId w:val="59"/>
        <w:rPr>
          <w:vanish w:val="0"/>
        </w:rPr>
      </w:pPr>
      <w:r>
        <w:t xml:space="preserve">a) Có quy trình và hướng dẫn nghiệp vụ kiểm tra chất lượng cho từng kiểu loại sản phẩm từ khâu kiểm soát chất lượng linh kiện đầu vào, kiểm tra chất lượng trên từng công đoạn cho tới khâu kiểm soát việc bảo hành, bảo dưỡng;</w:t>
      </w:r>
    </w:p>
    <w:p>
      <w:pPr>
        <w:pStyle w:val="Normal(Web)"/>
        <w:divId w:val="60"/>
        <w:rPr>
          <w:vanish w:val="0"/>
        </w:rPr>
      </w:pPr>
      <w:r>
        <w:t xml:space="preserve">b) Có các thiết bị kiểm tra cần thiết cho từng công đoạn sản xuất. Danh mục các thiết bị tối thiểu cần thiết để kiểm tra chất lượng xuất xưởng Xe tham gia giao thông </w:t>
      </w:r>
      <w:r>
        <w:t xml:space="preserve">trong</w:t>
      </w:r>
      <w:r>
        <w:t xml:space="preserve"> phạm vi hạn chế được quy định tại Phụ lục III ban hành kèm theo Thông tư này; hàng năm, các thiết bị kiểm tra chất lượng xuất xưởng này phải được Cục Đăng kiểm Việt Nam kiểm tra và xác nhận tình trạng hoạt động;</w:t>
      </w:r>
    </w:p>
    <w:p>
      <w:pPr>
        <w:pStyle w:val="Normal(Web)"/>
        <w:divId w:val="61"/>
        <w:rPr>
          <w:vanish w:val="0"/>
        </w:rPr>
      </w:pPr>
      <w:r>
        <w:t xml:space="preserve">c) Có đủ nguồn nhân lực thực hiện việc sản xuất và kiểm tra chất lượng phù hợp với quy trình sản xuất, lắp ráp. Có kỹ thuật viên chịu trách nhiệm về chất lượng xuất xưởng Xe được đào tạo và nắm vững nghiệp vụ về kiểm tra chất lượng.</w:t>
      </w:r>
    </w:p>
    <w:p>
      <w:pPr>
        <w:pStyle w:val="Normal(Web)"/>
        <w:divId w:val="62"/>
        <w:rPr>
          <w:vanish w:val="0"/>
        </w:rPr>
      </w:pPr>
      <w:r>
        <w:t xml:space="preserve">2. Cục Đăng kiểm Việt Nam tiến hành đánh giá điều kiện đảm bảo chất lượng tại Cơ sở sản xuất (sau đây gọi tắt là đánh giá COP) trên cơ sở tiêu chuẩn ISO/TS 16949 </w:t>
      </w:r>
      <w:r>
        <w:rPr>
          <w:i/>
        </w:rPr>
        <w:t xml:space="preserve">“Hệ thống quản lý chất lượng - Các yêu cầu cụ thể trong việc áp dụng ISO9001:2008 cho các doanh nghiệp sản xuất, lắp ráp xe cơ giới và linh kiện xe cơ giới”</w:t>
      </w:r>
      <w:r>
        <w:t xml:space="preserve"> theo các nội dung sau:</w:t>
      </w:r>
    </w:p>
    <w:p>
      <w:pPr>
        <w:pStyle w:val="Normal(Web)"/>
        <w:divId w:val="63"/>
        <w:rPr>
          <w:vanish w:val="0"/>
        </w:rPr>
      </w:pPr>
      <w:r>
        <w:t xml:space="preserve">a) Quy trình và hướng dẫn nghiệp vụ sản xuất, lắp ráp và kiểm tra chất lượng: kiểm tra linh kiện đầu vào, kiểm tra </w:t>
      </w:r>
      <w:r>
        <w:t xml:space="preserve">trên</w:t>
      </w:r>
      <w:r>
        <w:t xml:space="preserve"> từng công đoạn, kiểm tra xuất xưởng;</w:t>
      </w:r>
    </w:p>
    <w:p>
      <w:pPr>
        <w:pStyle w:val="Normal(Web)"/>
        <w:divId w:val="64"/>
        <w:rPr>
          <w:vanish w:val="0"/>
        </w:rPr>
      </w:pPr>
      <w:r>
        <w:t xml:space="preserve">b) Trang thiết bị kiểm tra chất lượng;</w:t>
      </w:r>
    </w:p>
    <w:p>
      <w:pPr>
        <w:pStyle w:val="Normal(Web)"/>
        <w:divId w:val="65"/>
        <w:rPr>
          <w:vanish w:val="0"/>
        </w:rPr>
      </w:pPr>
      <w:r>
        <w:t xml:space="preserve">c) Nguồn nhân lực thực hiện việc kiểm tra chất lượng.</w:t>
      </w:r>
    </w:p>
    <w:p>
      <w:pPr>
        <w:pStyle w:val="Normal(Web)"/>
        <w:divId w:val="66"/>
        <w:rPr>
          <w:vanish w:val="0"/>
        </w:rPr>
      </w:pPr>
      <w:r>
        <w:t xml:space="preserve">3. Các hình thức đánh giá COP:</w:t>
      </w:r>
    </w:p>
    <w:p>
      <w:pPr>
        <w:pStyle w:val="Normal(Web)"/>
        <w:divId w:val="67"/>
        <w:rPr>
          <w:vanish w:val="0"/>
        </w:rPr>
      </w:pPr>
      <w:r>
        <w:t xml:space="preserve">a) Đánh giá COP lần đầu được thực hiện khi cấp Giấy chứng nhận chất lượng kiểu loại;</w:t>
      </w:r>
    </w:p>
    <w:p>
      <w:pPr>
        <w:pStyle w:val="Normal(Web)"/>
        <w:divId w:val="68"/>
        <w:rPr>
          <w:vanish w:val="0"/>
        </w:rPr>
      </w:pPr>
      <w:r>
        <w:t xml:space="preserve">b) Đánh giá COP hàng năm được thực hiện định kỳ hàng năm;</w:t>
      </w:r>
    </w:p>
    <w:p>
      <w:pPr>
        <w:pStyle w:val="Normal(Web)"/>
        <w:divId w:val="69"/>
        <w:rPr>
          <w:vanish w:val="0"/>
        </w:rPr>
      </w:pPr>
      <w:r>
        <w:t xml:space="preserve">c) Đánh giá COP đột xuất được thực hiện khi Cơ sở sản xuất có dấu hiệu vi phạm các quy định liên quan đến việc kiểm tra chất lượng, sử dụng Phiếu kiểm tra chất lượng xuất xưởng hoặc khi có các khiếu nại về chất lượng Xe.</w:t>
      </w:r>
    </w:p>
    <w:p>
      <w:pPr>
        <w:pStyle w:val="Normal(Web)"/>
        <w:divId w:val="70"/>
        <w:rPr>
          <w:vanish w:val="0"/>
        </w:rPr>
      </w:pPr>
      <w:r>
        <w:t xml:space="preserve">4. Đối với các kiểu loại Xe tương tự, không có sự thay đổi cơ bản về quy trình công nghệ sản xuất, lắp ráp và kiểm tra chất lượng Xe thì có thể sử dụng kết quả đánh giá COP trước đó.</w:t>
      </w:r>
    </w:p>
    <w:p>
      <w:pPr>
        <w:pStyle w:val="Normal(Web)"/>
        <w:divId w:val="71"/>
        <w:rPr>
          <w:vanish w:val="0"/>
        </w:rPr>
      </w:pPr>
      <w:r>
        <w:t xml:space="preserve">Điều 7. Cấp giấy chứng nhận chất lượng kiểu loại</w:t>
      </w:r>
    </w:p>
    <w:p>
      <w:pPr>
        <w:pStyle w:val="Normal(Web)"/>
        <w:divId w:val="72"/>
        <w:rPr>
          <w:vanish w:val="0"/>
        </w:rPr>
      </w:pPr>
      <w:r>
        <w:t xml:space="preserve">Việc cấp giấy chứng nhận chất lượng kiểu loại Xe (sau đây gọi tắt là Giấy chứng nhận) được thực hiện theo trình tự và cách thức như sau:</w:t>
      </w:r>
    </w:p>
    <w:p>
      <w:pPr>
        <w:pStyle w:val="Normal(Web)"/>
        <w:divId w:val="73"/>
        <w:rPr>
          <w:vanish w:val="0"/>
        </w:rPr>
      </w:pPr>
      <w:r>
        <w:t xml:space="preserve">1. Cơ sở sản xuất lập 01 bộ hồ sơ đăng ký chứng nhận theo quy định tại Điều 5 của Thông tư này và nộp trực tiếp hoặc qua hệ thống bưu chính đến Cục Đăng kiểm Việt Nam.</w:t>
      </w:r>
    </w:p>
    <w:p>
      <w:pPr>
        <w:pStyle w:val="Normal(Web)"/>
        <w:divId w:val="74"/>
        <w:rPr>
          <w:vanish w:val="0"/>
        </w:rPr>
      </w:pPr>
      <w:r>
        <w:t xml:space="preserve">2. Cục Đăng kiểm Việt Nam tiếp nhận, kiểm tra hồ sơ đăng ký chứng nhận và xử lý như sau:</w:t>
      </w:r>
    </w:p>
    <w:p>
      <w:pPr>
        <w:pStyle w:val="Normal(Web)"/>
        <w:divId w:val="75"/>
        <w:rPr>
          <w:vanish w:val="0"/>
        </w:rPr>
      </w:pPr>
      <w:r>
        <w:t xml:space="preserve">a) Nếu thành phần hồ sơ không đầy đủ theo quy định thì hướng dẫn Cơ sở sản xuất hoàn thiện lại trong phạm vi 01 ngày làm việc đối với hồ sơ đăng ký chứng nhận nộp trực tiếp hoặc trong phạm vi 03 ngày làm việc đối với hồ sơ đăng ký chứng nhận nộp qua hệ thống bưu chính.</w:t>
      </w:r>
    </w:p>
    <w:p>
      <w:pPr>
        <w:pStyle w:val="Normal(Web)"/>
        <w:divId w:val="76"/>
        <w:rPr>
          <w:vanish w:val="0"/>
        </w:rPr>
      </w:pPr>
      <w:r>
        <w:t xml:space="preserve">b) Nếu thành phần hồ sơ đầy đủ theo quy định thì thống nhất với cơ sở sản xuất về thời gian và địa điểm thực hiện đánh giá COP.</w:t>
      </w:r>
    </w:p>
    <w:p>
      <w:pPr>
        <w:pStyle w:val="Normal(Web)"/>
        <w:divId w:val="77"/>
        <w:rPr>
          <w:vanish w:val="0"/>
        </w:rPr>
      </w:pPr>
      <w:r>
        <w:t xml:space="preserve">3. Trong phạm vi 10 ngày làm việc, kể từ ngày nhận đủ hồ sơ theo quy định, Cục Đăng kiểm Việt Nam thực hiện đánh giá COP theo quy định tại Điều 6 của Thông tư này.</w:t>
      </w:r>
    </w:p>
    <w:p>
      <w:pPr>
        <w:pStyle w:val="Normal(Web)"/>
        <w:divId w:val="78"/>
        <w:rPr>
          <w:vanish w:val="0"/>
        </w:rPr>
      </w:pPr>
      <w:r>
        <w:t xml:space="preserve">a) Nếu chưa đạt yêu cầu, thông báo để Cơ sở sản xuất hoàn thiện lại ngay khi kết thúc kiểm tra, đánh giá.</w:t>
      </w:r>
    </w:p>
    <w:p>
      <w:pPr>
        <w:pStyle w:val="Normal(Web)"/>
        <w:divId w:val="79"/>
        <w:rPr>
          <w:vanish w:val="0"/>
        </w:rPr>
      </w:pPr>
      <w:r>
        <w:t xml:space="preserve">b) Nếu đạt yêu cầu thì cấp Giấy chứng nhận theo mẫu quy định tại Phụ lục IVa ban hành kèm theo Thông tư này trong phạm vi 03 ngày </w:t>
      </w:r>
      <w:r>
        <w:t xml:space="preserve">là</w:t>
      </w:r>
      <w:r>
        <w:t xml:space="preserve">m việc, kể từ ngày kết thúc kiểm tra, đánh giá.</w:t>
      </w:r>
    </w:p>
    <w:p>
      <w:pPr>
        <w:pStyle w:val="Normal(Web)"/>
        <w:divId w:val="80"/>
        <w:rPr>
          <w:vanish w:val="0"/>
        </w:rPr>
      </w:pPr>
      <w:r>
        <w:t xml:space="preserve">Điều 8. Kiểm tra trong quá trình sản xuất, lắp ráp</w:t>
      </w:r>
    </w:p>
    <w:p>
      <w:pPr>
        <w:pStyle w:val="Normal(Web)"/>
        <w:divId w:val="81"/>
        <w:rPr>
          <w:vanish w:val="0"/>
        </w:rPr>
      </w:pPr>
      <w:r>
        <w:t xml:space="preserve">1. Cơ sở sản xuất chỉ được tiến hành sản xuất, lắp ráp và xuất xưởng các Xe tiếp theo sau khi kiểu loại Xe đã được cấp Giấy chứng nhận và phải đảm bảo các Xe này </w:t>
      </w:r>
      <w:r>
        <w:t xml:space="preserve">phù hợp</w:t>
      </w:r>
      <w:r>
        <w:t xml:space="preserve"> với hồ sơ đăng ký chứng nhận, mẫu điển hình đã được thử nghiệm. Cơ sở sản xuất phải chịu trách nhiệm về nguồn gốc, xuất xứ, chất lượng các Xe xuất xưởng.</w:t>
      </w:r>
    </w:p>
    <w:p>
      <w:pPr>
        <w:pStyle w:val="Normal(Web)"/>
        <w:divId w:val="82"/>
        <w:rPr>
          <w:vanish w:val="0"/>
        </w:rPr>
      </w:pPr>
      <w:r>
        <w:t xml:space="preserve">2. Từng Xe sản xuất, lắp ráp phải được Cơ sở sản xuất kiểm tra chất lượng xuất xưởng (sau đây gọi tắt là kiểm tra xuất xưởng).</w:t>
      </w:r>
    </w:p>
    <w:p>
      <w:pPr>
        <w:pStyle w:val="Normal(Web)"/>
        <w:divId w:val="83"/>
        <w:rPr>
          <w:vanish w:val="0"/>
        </w:rPr>
      </w:pPr>
      <w:r>
        <w:t xml:space="preserve">3. Căn cứ vào Giấy chứng nhận đã cấp và kết quả kiểm tra xuất xưởng, Cơ sở sản xuất Xe tham gia giao thông trong phạm vi hạn chế sẽ được nhận phôi Phiếu kiểm tra chất lượng xuất xưởng theo mẫu quy định tại Phụ lục V ban hành kèm theo Thông tư này cho các Xe sản xuất, lắp ráp.</w:t>
      </w:r>
    </w:p>
    <w:p>
      <w:pPr>
        <w:pStyle w:val="Normal(Web)"/>
        <w:divId w:val="84"/>
        <w:rPr>
          <w:vanish w:val="0"/>
        </w:rPr>
      </w:pPr>
      <w:r>
        <w:t xml:space="preserve">4. Cơ sở sản xuất cấp </w:t>
      </w:r>
      <w:r>
        <w:t xml:space="preserve">Ph</w:t>
      </w:r>
      <w:r>
        <w:t xml:space="preserve">iếu kiểm tra chất lượng xuất xưởng cho từng xe đạt yêu cầu xuất xưởng. Phiếu kiểm tra chất lượng xuất xưởng theo quy định tại khoản 3 Điều này phải do người có thẩm quyền (cấp trưởng, cấp phó hoặc cấp dưới trực tiếp được ủy quyền bằng văn bản của Thủ trưởng Cơ sở sản xuất) ký tên và đóng dấu.</w:t>
      </w:r>
    </w:p>
    <w:p>
      <w:pPr>
        <w:pStyle w:val="Normal(Web)"/>
        <w:divId w:val="85"/>
        <w:rPr>
          <w:vanish w:val="0"/>
        </w:rPr>
      </w:pPr>
      <w:r>
        <w:t xml:space="preserve">5. Cơ sở sản xuất có trách nhiệm lập và cấp cho từng Xe xuất xưởng hồ sơ với các hạng mục tối thiểu sau đây: Phiếu kiểm tra chất lượng xuất xưởng; Hướng dẫn sử dụng; Phiếu bảo hành Xe.</w:t>
      </w:r>
    </w:p>
    <w:p>
      <w:pPr>
        <w:pStyle w:val="Normal(Web)"/>
        <w:divId w:val="86"/>
        <w:rPr>
          <w:vanish w:val="0"/>
        </w:rPr>
      </w:pPr>
      <w:r>
        <w:t xml:space="preserve">6. Cục Đăng kiểm Việt Nam có thể tiến hành kiểm tra đột xuất. Trường hợp kết quả kiểm tra cho thấy Cơ sở sản xuất vi phạm quy định tại khoản 3 Điều 9 của Thông tư này thì sẽ bị thu hồi Giấy chứng nhận. Trường hợp vi phạm chưa tới mức bị thu hồi Giấy chứng nhận thì thực hiện giám sát việc kiểm tra xuất xưởng theo quy định tại khoản 2 Điều này.</w:t>
      </w:r>
    </w:p>
    <w:p>
      <w:pPr>
        <w:pStyle w:val="Normal(Web)"/>
        <w:divId w:val="87"/>
        <w:rPr>
          <w:vanish w:val="0"/>
        </w:rPr>
      </w:pPr>
      <w:r>
        <w:t xml:space="preserve">Điều 9. Đánh giá hàng năm, đánh giá bổ sung Giấy chứng nhận</w:t>
      </w:r>
    </w:p>
    <w:p>
      <w:pPr>
        <w:pStyle w:val="Normal(Web)"/>
        <w:divId w:val="88"/>
        <w:rPr>
          <w:vanish w:val="0"/>
        </w:rPr>
      </w:pPr>
      <w:r>
        <w:t xml:space="preserve">1. Hàng năm, Cục Đăng kiểm Việt Nam tiến hành đánh giá kiểu loại Xe đã được cấp Giấy chứng nhận trên cơ sở kết quả đánh giá COP theo quy định tại điểm b khoản 3 Điều 6 của Thông tư này.</w:t>
      </w:r>
    </w:p>
    <w:p>
      <w:pPr>
        <w:pStyle w:val="Normal(Web)"/>
        <w:divId w:val="89"/>
        <w:rPr>
          <w:vanish w:val="0"/>
        </w:rPr>
      </w:pPr>
      <w:r>
        <w:t xml:space="preserve">2. Cơ sở sản xuất phải tiến hành các thủ tục chứng nhận bổ sung khi các quy định liên quan đến kiểu loại Xe đã được chứng nhận thay đổi hoặc khi Xe có các thay đổi ảnh hưởng tới sự phù hợp của kiểu loại Xe đó so với các yêu cầu quy định tại Thông tư này. Cơ sở sản xuất phải nộp bổ sung cho Cục Đăng kiểm Việt Nam các tài liệu sau:</w:t>
      </w:r>
    </w:p>
    <w:p>
      <w:pPr>
        <w:pStyle w:val="Normal(Web)"/>
        <w:divId w:val="90"/>
        <w:rPr>
          <w:vanish w:val="0"/>
        </w:rPr>
      </w:pPr>
      <w:r>
        <w:t xml:space="preserve">a) Các tài liệu liên quan tới sự thay đổi của Xe;</w:t>
      </w:r>
    </w:p>
    <w:p>
      <w:pPr>
        <w:pStyle w:val="Normal(Web)"/>
        <w:divId w:val="91"/>
        <w:rPr>
          <w:vanish w:val="0"/>
        </w:rPr>
      </w:pPr>
      <w:r>
        <w:t xml:space="preserve">b) Báo cáo kết quả kiểm tra, thử nghiệm Xe theo các quy định mới hoặc Báo cáo kết quả kiểm tra, thử nghiệm bổ sung các hạng mục thay đổi của Xe theo các quy định hiện hành.</w:t>
      </w:r>
    </w:p>
    <w:p>
      <w:pPr>
        <w:pStyle w:val="Normal(Web)"/>
        <w:divId w:val="92"/>
        <w:rPr>
          <w:vanish w:val="0"/>
        </w:rPr>
      </w:pPr>
      <w:r>
        <w:t xml:space="preserve">3. Giấy chứng nhận kiểu loại Xe sẽ không còn giá trị, bị thu hồi trong các </w:t>
      </w:r>
      <w:r>
        <w:t xml:space="preserve">trường hợp</w:t>
      </w:r>
      <w:r>
        <w:t xml:space="preserve"> sau đây:</w:t>
      </w:r>
    </w:p>
    <w:p>
      <w:pPr>
        <w:pStyle w:val="Normal(Web)"/>
        <w:divId w:val="93"/>
        <w:rPr>
          <w:vanish w:val="0"/>
        </w:rPr>
      </w:pPr>
      <w:r>
        <w:t xml:space="preserve">a) Xe không còn thỏa mãn các quy định hiện hành hoặc Xe có sự thay đổi không </w:t>
      </w:r>
      <w:r>
        <w:t xml:space="preserve">phù hợp</w:t>
      </w:r>
      <w:r>
        <w:t xml:space="preserve"> với hồ sơ đăng ký chứng nhận, Giấy chứng nhận đã cấp mà Cơ sở sản xuất không thực hiện việc chứng nhận bổ sung theo quy định tại khoản 2 Điều này;</w:t>
      </w:r>
    </w:p>
    <w:p>
      <w:pPr>
        <w:pStyle w:val="Normal(Web)"/>
        <w:divId w:val="94"/>
        <w:rPr>
          <w:vanish w:val="0"/>
        </w:rPr>
      </w:pPr>
      <w:r>
        <w:t xml:space="preserve">b) Cơ sở sản xuất vi phạm quy định: không thực hiện việc kiểm tra chất lượng xuất xưởng theo quy định, sử dụng Phiếu kiểm tra chất lượng xuất xưởng cho Xe chưa được cấp Giấy chứng nhận, kiểu loại Xe vi phạm quyền sở hữu công nghiệp;</w:t>
      </w:r>
    </w:p>
    <w:p>
      <w:pPr>
        <w:pStyle w:val="Normal(Web)"/>
        <w:divId w:val="95"/>
        <w:rPr>
          <w:vanish w:val="0"/>
        </w:rPr>
      </w:pPr>
      <w:r>
        <w:t xml:space="preserve">c) Cơ sở sản xuất không thực hiện việc triệu hồi đối với Xe bị lỗi kỹ thuật theo quy định tại khoản 3 Điều 25 của Thông tư này.</w:t>
      </w:r>
    </w:p>
    <w:p>
      <w:pPr>
        <w:pStyle w:val="Normal(Web)"/>
        <w:divId w:val="96"/>
        <w:rPr>
          <w:vanish w:val="0"/>
        </w:rPr>
      </w:pPr>
      <w:r>
        <w:t xml:space="preserve">Giấy chứng nhận không còn giá trị được thông báo cho Cơ sở sản xuất bằng văn bản và công bố trên trang thông tin điện tử của Cục Đăng kiểm Việt Nam.</w:t>
      </w:r>
    </w:p>
    <w:p>
      <w:pPr>
        <w:pStyle w:val="Normal(Web)"/>
        <w:divId w:val="97"/>
        <w:jc w:val="center"/>
        <w:rPr>
          <w:vanish w:val="0"/>
        </w:rPr>
      </w:pPr>
      <w:r>
        <w:rPr>
          <w:b/>
        </w:rPr>
        <w:t xml:space="preserve">Chương III</w:t>
      </w:r>
    </w:p>
    <w:p>
      <w:pPr>
        <w:pStyle w:val="Normal(Web)"/>
        <w:divId w:val="98"/>
        <w:jc w:val="center"/>
        <w:rPr>
          <w:vanish w:val="0"/>
        </w:rPr>
      </w:pPr>
      <w:r>
        <w:t xml:space="preserve">QUY ĐỊNH VỀ KIỂM TRA CHẤT LƯỢNG AN TOÀN KỸ THUẬT VÀ BẢO VỆ MÔI TRƯỜNG XE NHẬP KHẨU</w:t>
      </w:r>
    </w:p>
    <w:p>
      <w:pPr>
        <w:pStyle w:val="Normal(Web)"/>
        <w:divId w:val="99"/>
        <w:rPr>
          <w:vanish w:val="0"/>
        </w:rPr>
      </w:pPr>
      <w:r>
        <w:t xml:space="preserve">Điều 10. Hồ sơ đăng ký kiểm tra</w:t>
      </w:r>
    </w:p>
    <w:p>
      <w:pPr>
        <w:pStyle w:val="Normal(Web)"/>
        <w:divId w:val="100"/>
        <w:rPr>
          <w:vanish w:val="0"/>
        </w:rPr>
      </w:pPr>
      <w:r>
        <w:t xml:space="preserve">1. Hồ sơ đăng ký kiểm tra Xe bao gồm các tài liệu sau:</w:t>
      </w:r>
    </w:p>
    <w:p>
      <w:pPr>
        <w:pStyle w:val="Normal(Web)"/>
        <w:divId w:val="101"/>
        <w:rPr>
          <w:vanish w:val="0"/>
        </w:rPr>
      </w:pPr>
      <w:r>
        <w:t xml:space="preserve">a) Bản chính Bản đăng ký kiểm tra chất lượng an toàn kỹ thuật và bảo vệ môi trường Xe nhập khẩu (sau đây gọi tắt là Bản đăng ký kiểm tra) theo mẫu quy định tại Phụ lục VI kèm theo Thông tư này;</w:t>
      </w:r>
    </w:p>
    <w:p>
      <w:pPr>
        <w:pStyle w:val="Normal(Web)"/>
        <w:divId w:val="102"/>
        <w:rPr>
          <w:vanish w:val="0"/>
        </w:rPr>
      </w:pPr>
      <w:r>
        <w:t xml:space="preserve">b) Bản sao chứng từ nhập khẩu có xác nhận của Cơ sở nhập khẩu bao gồm: Hóa đơn thương mại hoặc các giấy tờ tương đương; Tờ khai hàng </w:t>
      </w:r>
      <w:r>
        <w:t xml:space="preserve">hóa</w:t>
      </w:r>
      <w:r>
        <w:t xml:space="preserve"> nhập khẩu;</w:t>
      </w:r>
    </w:p>
    <w:p>
      <w:pPr>
        <w:pStyle w:val="Normal(Web)"/>
        <w:divId w:val="103"/>
        <w:rPr>
          <w:vanish w:val="0"/>
        </w:rPr>
      </w:pPr>
      <w:r>
        <w:t xml:space="preserve">c) Bản sao có xác nhận của Cơ sở nhập khẩu tài liệu giới thiệu tính năng và thông số kỹ thuật của Xe, trong đó thể hiện các nội dung cơ bản sau: các thông số về kích thước cơ bản; các thông số về khối lượng (khối lượng bản thân, khối lượng toàn bộ); số người cho phép chở; vận tốc lớn nhất; cỡ lốp; quãng đường đi được liên tục của xe trong một lần sạc điện (đối với xe sử dụng động cơ điện); giới thiệu về các hệ thống chính, bao gồm: hệ thống truyền lực, hệ thống phanh, hệ thống treo, hệ thống lái, hệ thống đèn chiếu sáng tín hiệu và các thông số kỹ thuật cơ bản của động cơ (đối với động cơ đốt trong: công suất lớn nhất ứng với tốc độ quay, thể tích làm việc, loại nhiên liệu sử dụng; đối với động cơ điện: công suất lớn nhất, điện áp danh định, dung lượng của ắc quy);</w:t>
      </w:r>
    </w:p>
    <w:p>
      <w:pPr>
        <w:pStyle w:val="Normal(Web)"/>
        <w:divId w:val="104"/>
        <w:rPr>
          <w:vanish w:val="0"/>
        </w:rPr>
      </w:pPr>
      <w:r>
        <w:t xml:space="preserve">Trường hợp</w:t>
      </w:r>
      <w:r>
        <w:t xml:space="preserve"> không cung cấp được tài liệu giới thiệu tính năng và thông số kỹ thuật của Xe hoặc tài liệu này chưa đủ nội dung quy định tại điểm c khoản này thì Cơ sở nhập khẩu sử dụng Bản đăng ký thông số kỹ thuật theo mẫu quy định tại Phụ lục II ban hành kèm theo Thông tư này để thay thế.</w:t>
      </w:r>
    </w:p>
    <w:p>
      <w:pPr>
        <w:pStyle w:val="Normal(Web)"/>
        <w:divId w:val="105"/>
        <w:rPr>
          <w:vanish w:val="0"/>
        </w:rPr>
      </w:pPr>
      <w:r>
        <w:t xml:space="preserve">2. Tờ khai hàng </w:t>
      </w:r>
      <w:r>
        <w:t xml:space="preserve">hóa</w:t>
      </w:r>
      <w:r>
        <w:t xml:space="preserve"> nhập khẩu theo quy định tại điểm b và các thành phần hồ sơ quy định tại điểm c khoản 1 Điều này có thể nộp chậm hơn Bản đăng ký kiểm tra nhưng phải nộp trước khi tiến hành kiểm tra Xe.</w:t>
      </w:r>
    </w:p>
    <w:p>
      <w:pPr>
        <w:pStyle w:val="Normal(Web)"/>
        <w:divId w:val="106"/>
        <w:rPr>
          <w:vanish w:val="0"/>
        </w:rPr>
      </w:pPr>
      <w:r>
        <w:t xml:space="preserve">3. Các Xe cùng kiểu </w:t>
      </w:r>
      <w:r>
        <w:t xml:space="preserve">loại</w:t>
      </w:r>
      <w:r>
        <w:t xml:space="preserve"> với kiểu loại Xe đã được Cục Đăng kiểm Việt Nam kiểm tra và cấp Giấy chứng nhận được miễn nộp hạng mục hồ sơ tài liệu quy định tại điểm c khoản 1 Điều này.</w:t>
      </w:r>
    </w:p>
    <w:p>
      <w:pPr>
        <w:pStyle w:val="Normal(Web)"/>
        <w:divId w:val="107"/>
        <w:rPr>
          <w:vanish w:val="0"/>
        </w:rPr>
      </w:pPr>
      <w:r>
        <w:t xml:space="preserve">Điều 11. Kiểm tra Xe</w:t>
      </w:r>
    </w:p>
    <w:p>
      <w:pPr>
        <w:pStyle w:val="Normal(Web)"/>
        <w:divId w:val="108"/>
        <w:rPr>
          <w:vanish w:val="0"/>
        </w:rPr>
      </w:pPr>
      <w:r>
        <w:t xml:space="preserve">1. Phương thức kiểm tra:</w:t>
      </w:r>
    </w:p>
    <w:p>
      <w:pPr>
        <w:pStyle w:val="Normal(Web)"/>
        <w:divId w:val="109"/>
        <w:rPr>
          <w:vanish w:val="0"/>
        </w:rPr>
      </w:pPr>
      <w:r>
        <w:t xml:space="preserve">a) Kiểm tra sự phù hợp về kiểu loại của các Xe trong cùng lô Xe.</w:t>
      </w:r>
    </w:p>
    <w:p>
      <w:pPr>
        <w:pStyle w:val="Normal(Web)"/>
        <w:divId w:val="110"/>
        <w:rPr>
          <w:vanish w:val="0"/>
        </w:rPr>
      </w:pPr>
      <w:r>
        <w:t xml:space="preserve">b) Kiểm tra số khung, số động cơ của từng Xe trong lô Xe.</w:t>
      </w:r>
    </w:p>
    <w:p>
      <w:pPr>
        <w:pStyle w:val="Normal(Web)"/>
        <w:divId w:val="111"/>
        <w:rPr>
          <w:vanish w:val="0"/>
        </w:rPr>
      </w:pPr>
      <w:r>
        <w:t xml:space="preserve">c) Lấy ngẫu nhiên 01 Xe mẫu trong lô Xe cùng kiểu loại để kiểm tra, thử nghiệm. Riêng đối với Xe đã qua sử dụng, việc kiểm tra, thử nghiệm được thực hiện cho từng Xe.</w:t>
      </w:r>
    </w:p>
    <w:p>
      <w:pPr>
        <w:pStyle w:val="Normal(Web)"/>
        <w:divId w:val="112"/>
        <w:rPr>
          <w:vanish w:val="0"/>
        </w:rPr>
      </w:pPr>
      <w:r>
        <w:t xml:space="preserve">2. Nội dung kiểm tra, thử nghiệm:</w:t>
      </w:r>
    </w:p>
    <w:p>
      <w:pPr>
        <w:pStyle w:val="Normal(Web)"/>
        <w:divId w:val="113"/>
        <w:rPr>
          <w:vanish w:val="0"/>
        </w:rPr>
      </w:pPr>
      <w:r>
        <w:t xml:space="preserve">Việc kiểm tra, thử nghiệm Xe mẫu nêu tại điểm c khoản 1 Điều này được thực hiện theo quy định tại </w:t>
      </w:r>
      <w:r>
        <w:t xml:space="preserve">Điều</w:t>
      </w:r>
      <w:r>
        <w:t xml:space="preserve"> 4 của Thông tư này.</w:t>
      </w:r>
    </w:p>
    <w:p>
      <w:pPr>
        <w:pStyle w:val="Normal(Web)"/>
        <w:divId w:val="114"/>
        <w:rPr>
          <w:vanish w:val="0"/>
        </w:rPr>
      </w:pPr>
      <w:r>
        <w:t xml:space="preserve">3. Miễn kiểm tra, thử nghiệm Xe mẫu trong các </w:t>
      </w:r>
      <w:r>
        <w:t xml:space="preserve">trường hợp</w:t>
      </w:r>
      <w:r>
        <w:t xml:space="preserve"> sau:</w:t>
      </w:r>
    </w:p>
    <w:p>
      <w:pPr>
        <w:pStyle w:val="Normal(Web)"/>
        <w:divId w:val="115"/>
        <w:rPr>
          <w:vanish w:val="0"/>
        </w:rPr>
      </w:pPr>
      <w:r>
        <w:t xml:space="preserve">a) Các kiểu loại xe đã được kiểm tra theo Hiệp định hoặc thỏa thuận công nhận lẫn nhau về tiêu chuẩn, quy chuẩn và sự </w:t>
      </w:r>
      <w:r>
        <w:t xml:space="preserve">phù hợp</w:t>
      </w:r>
      <w:r>
        <w:t xml:space="preserve"> mà Việt Nam tham gia ký kết;</w:t>
      </w:r>
    </w:p>
    <w:p>
      <w:pPr>
        <w:pStyle w:val="Normal(Web)"/>
        <w:divId w:val="116"/>
        <w:rPr>
          <w:vanish w:val="0"/>
        </w:rPr>
      </w:pPr>
      <w:r>
        <w:t xml:space="preserve">b) Xe chưa qua sử dụng cùng kiểu loại với kiểu loại Xe đã được Cục Đăng kiểm Việt Nam cấp Giấy chứng nhận và của cùng một Cơ sở nhập khẩu.</w:t>
      </w:r>
    </w:p>
    <w:p>
      <w:pPr>
        <w:pStyle w:val="Normal(Web)"/>
        <w:divId w:val="117"/>
        <w:rPr>
          <w:vanish w:val="0"/>
        </w:rPr>
      </w:pPr>
      <w:r>
        <w:t xml:space="preserve">Trường hợp</w:t>
      </w:r>
      <w:r>
        <w:t xml:space="preserve"> lô Xe thuộc các đối tượng miễn kiểm tra, thử nghiệm Xe mẫu nêu trên có dấu hiệu không bảo đảm chất lượng thì sẽ phải thực hiện việc kiểm tra, thử nghiệm Xe mẫu theo quy định tại khoản 2 Điều này.</w:t>
      </w:r>
    </w:p>
    <w:p>
      <w:pPr>
        <w:pStyle w:val="Normal(Web)"/>
        <w:divId w:val="118"/>
        <w:rPr>
          <w:vanish w:val="0"/>
        </w:rPr>
      </w:pPr>
      <w:r>
        <w:t xml:space="preserve">Điều 12. Cấp giấy chứng nhận chất lượng nhập khẩu</w:t>
      </w:r>
    </w:p>
    <w:p>
      <w:pPr>
        <w:pStyle w:val="Normal(Web)"/>
        <w:divId w:val="119"/>
        <w:rPr>
          <w:vanish w:val="0"/>
        </w:rPr>
      </w:pPr>
      <w:r>
        <w:t xml:space="preserve">1. Cơ sở nhập khẩu lập 01 bộ hồ sơ đăng ký theo quy định tại khoản 1 Điều 10 của Thông tư này và nộp trực tiếp cho Cục Đăng kiểm Việt Nam.</w:t>
      </w:r>
    </w:p>
    <w:p>
      <w:pPr>
        <w:pStyle w:val="Normal(Web)"/>
        <w:divId w:val="120"/>
        <w:rPr>
          <w:vanish w:val="0"/>
        </w:rPr>
      </w:pPr>
      <w:r>
        <w:t xml:space="preserve">2. Sau khi tiếp nhận hồ sơ đăng ký kiểm tra, Cục Đăng kiểm Việt Nam xem xét, đối chiếu hồ sơ đăng ký kiểm tra với quy định tại khoản 1 Điều 10 của Thông tư này và xử lý như sau:</w:t>
      </w:r>
    </w:p>
    <w:p>
      <w:pPr>
        <w:pStyle w:val="Normal(Web)"/>
        <w:divId w:val="121"/>
        <w:rPr>
          <w:vanish w:val="0"/>
        </w:rPr>
      </w:pPr>
      <w:r>
        <w:t xml:space="preserve">a) Nếu hồ sơ đăng ký kiểm tra chưa đầy đủ theo quy định thì ngay trong ngày làm việc, hướng dẫn Cơ sở nhập khẩu bổ sung, hoàn thiện lại;</w:t>
      </w:r>
    </w:p>
    <w:p>
      <w:pPr>
        <w:pStyle w:val="Normal(Web)"/>
        <w:divId w:val="122"/>
        <w:rPr>
          <w:vanish w:val="0"/>
        </w:rPr>
      </w:pPr>
      <w:r>
        <w:t xml:space="preserve">b) Nếu hồ sơ đăng ký kiểm tra đầy đủ theo quy định thì trong phạm vi 01 ngày làm việc, xác nhận vào Bản đăng ký kiểm tra, đồng thời thống nhất với Cơ sở nhập khẩu về thời gian và địa điểm kiểm tra.</w:t>
      </w:r>
    </w:p>
    <w:p>
      <w:pPr>
        <w:pStyle w:val="Normal(Web)"/>
        <w:divId w:val="123"/>
        <w:rPr>
          <w:vanish w:val="0"/>
        </w:rPr>
      </w:pPr>
      <w:r>
        <w:t xml:space="preserve">3. Cục Đăng kiểm Việt Nam tiến hành kiểm tra và xem xét kết quả thử nghiệm Xe theo quy định tại Điều 11 của Thông tư này, tiến hành thông báo kết quả trong phạm vi 03 ngày làm việc (kể từ ngày kết thúc kiểm tra, nhận được kết quả thử nghiệm) như sau:</w:t>
      </w:r>
    </w:p>
    <w:p>
      <w:pPr>
        <w:pStyle w:val="Normal(Web)"/>
        <w:divId w:val="124"/>
        <w:rPr>
          <w:vanish w:val="0"/>
        </w:rPr>
      </w:pPr>
      <w:r>
        <w:t xml:space="preserve">a) Nếu không đạt yêu cầu thì thông báo để Cơ sở nhập khẩu khắc phục; Quá thời hạn 10 ngày làm việc, kể từ ngày thông báo, nếu Cơ sở nhập khẩu chưa có biện pháp khắc phục thì cấp Thông báo không đạt chất lượng theo mẫu quy định tại Phụ lục IVc ban hành kèm theo Thông tư này.</w:t>
      </w:r>
    </w:p>
    <w:p>
      <w:pPr>
        <w:pStyle w:val="Normal(Web)"/>
        <w:divId w:val="125"/>
        <w:rPr>
          <w:vanish w:val="0"/>
        </w:rPr>
      </w:pPr>
      <w:r>
        <w:t xml:space="preserve">b) Nếu đạt yêu cầu thì cấp Giấy chứng nhận theo mẫu quy định tại Phụ lục IVb ban hành kèm theo Thông tư này.</w:t>
      </w:r>
    </w:p>
    <w:p>
      <w:pPr>
        <w:pStyle w:val="Normal(Web)"/>
        <w:divId w:val="126"/>
        <w:rPr>
          <w:vanish w:val="0"/>
        </w:rPr>
      </w:pPr>
      <w:r>
        <w:t xml:space="preserve">Trong quá trình kiểm tra, nếu Cục Đăng kiểm Việt Nam nhận được thông tin của nhà sản xuất hoặc cơ quan quản lý phương tiện nước ngoài thông báo Xe thuộc đối tượng phải triệu hồi (recall) để sửa chữa, khắc phục các lỗi kỹ thuật thì Cục Đăng kiểm Việt Nam chỉ cấp Giấy chứng nhận sau khi Cơ sở </w:t>
      </w:r>
      <w:r>
        <w:t xml:space="preserve">nhập khẩu</w:t>
      </w:r>
      <w:r>
        <w:t xml:space="preserve"> có văn bản cam kết kèm theo văn bản của nhà sản xuất hoặc của các cơ sở được ủy quyền của nhà sản xuất xác nhận Xe nhập khẩu đã thực hiện xong việc sửa chữa khắc phục lỗi và đảm bảo an toàn.</w:t>
      </w:r>
    </w:p>
    <w:p>
      <w:pPr>
        <w:pStyle w:val="Normal(Web)"/>
        <w:divId w:val="127"/>
        <w:jc w:val="center"/>
        <w:rPr>
          <w:vanish w:val="0"/>
        </w:rPr>
      </w:pPr>
      <w:r>
        <w:t xml:space="preserve">Chương IV</w:t>
      </w:r>
    </w:p>
    <w:p>
      <w:pPr>
        <w:pStyle w:val="Normal(Web)"/>
        <w:divId w:val="128"/>
        <w:jc w:val="center"/>
        <w:rPr>
          <w:vanish w:val="0"/>
        </w:rPr>
      </w:pPr>
      <w:r>
        <w:t xml:space="preserve">QUY ĐỊNH VỀ KIỂM TRA AN TOÀN KỸ THUẬT VÀ BẢO VỆ MÔI TRƯỜNG ĐỐI VỚI XE THAM GIA GIAO THÔNG TRONG PHẠM VI HẠN CHẾ</w:t>
      </w:r>
    </w:p>
    <w:p>
      <w:pPr>
        <w:pStyle w:val="Normal(Web)"/>
        <w:divId w:val="129"/>
        <w:rPr>
          <w:vanish w:val="0"/>
        </w:rPr>
      </w:pPr>
      <w:r>
        <w:t xml:space="preserve">Điều 13. Hồ sơ kiểm tra lưu hành</w:t>
      </w:r>
    </w:p>
    <w:p>
      <w:pPr>
        <w:pStyle w:val="Normal(Web)"/>
        <w:divId w:val="130"/>
        <w:rPr>
          <w:vanish w:val="0"/>
        </w:rPr>
      </w:pPr>
      <w:r>
        <w:t xml:space="preserve">1. Các giấy tờ phải nộp:</w:t>
      </w:r>
    </w:p>
    <w:p>
      <w:pPr>
        <w:pStyle w:val="Normal(Web)"/>
        <w:divId w:val="131"/>
        <w:rPr>
          <w:vanish w:val="0"/>
        </w:rPr>
      </w:pPr>
      <w:r>
        <w:t xml:space="preserve">a) Văn bản đề nghị kiểm tra của </w:t>
      </w:r>
      <w:r>
        <w:t xml:space="preserve">tổ chức</w:t>
      </w:r>
      <w:r>
        <w:t xml:space="preserve">, cá nhân theo quy định tại Phụ lục VII ban hành kèm theo Thông tư này đối với trường hợp không đưa được Xe đến Đơn vị đăng kiểm;</w:t>
      </w:r>
    </w:p>
    <w:p>
      <w:pPr>
        <w:pStyle w:val="Normal(Web)"/>
        <w:divId w:val="132"/>
        <w:rPr>
          <w:vanish w:val="0"/>
        </w:rPr>
      </w:pPr>
      <w:r>
        <w:t xml:space="preserve">b) Bản sao Phiếu kiểm tra chất lượng xuất xưởng (đối với </w:t>
      </w:r>
      <w:r>
        <w:t xml:space="preserve">trường hợp</w:t>
      </w:r>
      <w:r>
        <w:t xml:space="preserve"> Xe sản xuất, lắp ráp trong nước kiểm tra lưu hành lần đầu của các Xe có đăng ký lần đầu sau ngày Thông tư này có hiệu lực).</w:t>
      </w:r>
    </w:p>
    <w:p>
      <w:pPr>
        <w:pStyle w:val="Normal(Web)"/>
        <w:divId w:val="133"/>
        <w:rPr>
          <w:vanish w:val="0"/>
        </w:rPr>
      </w:pPr>
      <w:r>
        <w:t xml:space="preserve">2. Các giấy tờ phải xuất trình:</w:t>
      </w:r>
    </w:p>
    <w:p>
      <w:pPr>
        <w:pStyle w:val="Normal(Web)"/>
        <w:divId w:val="134"/>
        <w:rPr>
          <w:vanish w:val="0"/>
        </w:rPr>
      </w:pPr>
      <w:r>
        <w:t xml:space="preserve">a) Bản chính Giấy đăng ký xe hoặc bản sao Giấy đăng ký xe có xác nhận của ngân hàng đang giữ Bản chính Giấy đăng ký xe đó hoặc bản sao Giấy đăng ký xe có xác nhận của cơ quan cho thuê tài chính đang giữ Bản chính Giấy đăng ký xe đó;</w:t>
      </w:r>
    </w:p>
    <w:p>
      <w:pPr>
        <w:pStyle w:val="Normal(Web)"/>
        <w:divId w:val="135"/>
        <w:rPr>
          <w:vanish w:val="0"/>
        </w:rPr>
      </w:pPr>
      <w:r>
        <w:t xml:space="preserve">b) Bản chính Giấy chứng nhận bảo hiểm trách nhiệm dân sự còn hiệu lực;</w:t>
      </w:r>
    </w:p>
    <w:p>
      <w:pPr>
        <w:pStyle w:val="Normal(Web)"/>
        <w:divId w:val="136"/>
        <w:rPr>
          <w:vanish w:val="0"/>
        </w:rPr>
      </w:pPr>
      <w:r>
        <w:t xml:space="preserve">c) Văn bản chấp thuận của cơ quan địa phương có thẩm quyền về khu vực cho phép Xe của tổ chức cá nhân hoạt động còn hiệu lực.</w:t>
      </w:r>
    </w:p>
    <w:p>
      <w:pPr>
        <w:pStyle w:val="Normal(Web)"/>
        <w:divId w:val="137"/>
        <w:rPr>
          <w:vanish w:val="0"/>
        </w:rPr>
      </w:pPr>
      <w:r>
        <w:t xml:space="preserve">Điều 14. Đơn vị đăng kiểm thực hiện kiểm tra lưu hành</w:t>
      </w:r>
    </w:p>
    <w:p>
      <w:pPr>
        <w:pStyle w:val="Normal(Web)"/>
        <w:divId w:val="138"/>
        <w:rPr>
          <w:vanish w:val="0"/>
        </w:rPr>
      </w:pPr>
      <w:r>
        <w:t xml:space="preserve">1. Xe được hoạt động tại địa phương nào thì do các Đơn vị đăng kiểm ở cùng địa phương Xe hoạt động kiểm tra lưu hành.</w:t>
      </w:r>
    </w:p>
    <w:p>
      <w:pPr>
        <w:pStyle w:val="Normal(Web)"/>
        <w:divId w:val="139"/>
        <w:rPr>
          <w:vanish w:val="0"/>
        </w:rPr>
      </w:pPr>
      <w:r>
        <w:t xml:space="preserve">2. Dữ liệu kiểm tra lưu hành được lưu trữ tại Đơn vị đăng kiểm và trên Cơ sở dữ liệu của Cục Đăng kiểm Việt Nam.</w:t>
      </w:r>
    </w:p>
    <w:p>
      <w:pPr>
        <w:pStyle w:val="Normal(Web)"/>
        <w:divId w:val="140"/>
        <w:rPr>
          <w:vanish w:val="0"/>
        </w:rPr>
      </w:pPr>
      <w:r>
        <w:t xml:space="preserve">Điều 15. Trình tự, cách thức thực hiện khi kiểm tra lưu hành</w:t>
      </w:r>
    </w:p>
    <w:p>
      <w:pPr>
        <w:pStyle w:val="Normal(Web)"/>
        <w:divId w:val="141"/>
        <w:rPr>
          <w:vanish w:val="0"/>
        </w:rPr>
      </w:pPr>
      <w:r>
        <w:t xml:space="preserve">1. Chủ xe hoặc người được ủy quyền (sau đây gọi tắt là chủ xe) nộp hồ sơ theo quy định tại Điều 13 của Thông tư này trực tiếp đến Đơn vị đăng kiểm để đăng ký kiểm tra.</w:t>
      </w:r>
    </w:p>
    <w:p>
      <w:pPr>
        <w:pStyle w:val="Normal(Web)"/>
        <w:divId w:val="142"/>
        <w:rPr>
          <w:vanish w:val="0"/>
        </w:rPr>
      </w:pPr>
      <w:r>
        <w:t xml:space="preserve">2. Đơn vị đăng kiểm tiếp nhận, kiểm tra hồ sơ. Nếu không đầy đủ theo quy định thì hướng dẫn chủ xe hoàn thiện lại ngay trong ngày làm việc. Nếu đầy đủ, hợp lệ thì hẹn ngày kiểm tra theo địa điểm chủ xe đăng ký (Nơi kiểm tra phải đáp ứng điều kiện quy định tại Phụ lục VIII ban hành kèm theo Thông tư này).</w:t>
      </w:r>
    </w:p>
    <w:p>
      <w:pPr>
        <w:pStyle w:val="Normal(Web)"/>
        <w:divId w:val="143"/>
        <w:rPr>
          <w:vanish w:val="0"/>
        </w:rPr>
      </w:pPr>
      <w:r>
        <w:t xml:space="preserve">3. Việc kiểm tra xe được tiến hành theo các hạng mục, phương pháp kiểm tra được quy định tại Phụ lục VIII ban hành kèm theo Thông tư này.</w:t>
      </w:r>
    </w:p>
    <w:p>
      <w:pPr>
        <w:pStyle w:val="Normal(Web)"/>
        <w:divId w:val="144"/>
        <w:rPr>
          <w:vanish w:val="0"/>
        </w:rPr>
      </w:pPr>
      <w:r>
        <w:t xml:space="preserve">4. Đối với trường hợp kiểm tra lần đầu, Đơn vị đăng kiểm kiểm tra và lập Biên bản kiểm tra lần đầu của Xe theo mẫu quy định tại Phụ lục IX ban hành kèm theo Thông tư này. Trường hợp Xe nhập khẩu đăng ký sau ngày Thông tư này có hiệu lực, Đơn vị đăng kiểm căn cứ vào số khung tra cứu dữ liệu Xe nhập khẩu trên trang thông tin điện tử của Cục Đăng kiểm Việt Nam và kiểm tra Xe thực tế để lập hồ sơ.</w:t>
      </w:r>
    </w:p>
    <w:p>
      <w:pPr>
        <w:pStyle w:val="Normal(Web)"/>
        <w:divId w:val="145"/>
        <w:rPr>
          <w:vanish w:val="0"/>
        </w:rPr>
      </w:pPr>
      <w:r>
        <w:t xml:space="preserve">5. Xe kiểm tra đạt yêu cầu, Đơn vị đăng kiểm cấp Giấy chứng nhận lưu hành và Tem lưu hành sau 02 ngày </w:t>
      </w:r>
      <w:r>
        <w:t xml:space="preserve">là</w:t>
      </w:r>
      <w:r>
        <w:t xml:space="preserve">m việc, kể từ ngày kết thúc kiểm tra đạt yêu cầu. Giấy chứng nhận lưu hành và Tem lưu hành theo mẫu quy định tại Phụ lục X ban hành kèm theo Thông tư này.</w:t>
      </w:r>
    </w:p>
    <w:p>
      <w:pPr>
        <w:pStyle w:val="Normal(Web)"/>
        <w:divId w:val="146"/>
        <w:rPr>
          <w:vanish w:val="0"/>
        </w:rPr>
      </w:pPr>
      <w:r>
        <w:t xml:space="preserve">6. Xe kiểm tra có kết quả không đạt, Đơn vị đăng kiểm thông báo hạng mục kiểm tra không đạt của Xe cho chủ xe biết để sửa chữa, khắc phục và kiểm tra lại.</w:t>
      </w:r>
    </w:p>
    <w:p>
      <w:pPr>
        <w:pStyle w:val="Normal(Web)"/>
        <w:divId w:val="147"/>
        <w:rPr>
          <w:vanish w:val="0"/>
        </w:rPr>
      </w:pPr>
      <w:r>
        <w:t xml:space="preserve">Điều 16. Giấy chứng nhận lưu hành, Tem lưu hành</w:t>
      </w:r>
    </w:p>
    <w:p>
      <w:pPr>
        <w:pStyle w:val="Normal(Web)"/>
        <w:divId w:val="148"/>
        <w:rPr>
          <w:vanish w:val="0"/>
        </w:rPr>
      </w:pPr>
      <w:r>
        <w:t xml:space="preserve">1. Thời hạn hiệu lực của Giấy chứng nhận lưu hành</w:t>
      </w:r>
    </w:p>
    <w:p>
      <w:pPr>
        <w:pStyle w:val="Normal(Web)"/>
        <w:divId w:val="149"/>
        <w:rPr>
          <w:vanish w:val="0"/>
        </w:rPr>
      </w:pPr>
      <w:r>
        <w:t xml:space="preserve">a) Trường hợp kiểm tra lần đầu: 18 tháng </w:t>
      </w:r>
      <w:r>
        <w:t xml:space="preserve">đối với</w:t>
      </w:r>
      <w:r>
        <w:t xml:space="preserve"> Xe mới, chưa qua sử dụng đến 02 năm, kể từ năm sản xuất; 12 tháng đối với các trường hợp còn lại (kể cả Xe không xác định được năm sản xuất);</w:t>
      </w:r>
    </w:p>
    <w:p>
      <w:pPr>
        <w:pStyle w:val="Normal(Web)"/>
        <w:divId w:val="150"/>
        <w:rPr>
          <w:vanish w:val="0"/>
        </w:rPr>
      </w:pPr>
      <w:r>
        <w:t xml:space="preserve">b) Các lần kiểm tra tiếp theo: 12 tháng;</w:t>
      </w:r>
    </w:p>
    <w:p>
      <w:pPr>
        <w:pStyle w:val="Normal(Web)"/>
        <w:divId w:val="151"/>
        <w:rPr>
          <w:vanish w:val="0"/>
        </w:rPr>
      </w:pPr>
      <w:r>
        <w:t xml:space="preserve">c) Thời hạn hiệu lực của Giấy chứng nhận lưu hành không vượt quá thời hạn của Giấy đăng ký Xe (nếu có).</w:t>
      </w:r>
    </w:p>
    <w:p>
      <w:pPr>
        <w:pStyle w:val="Normal(Web)"/>
        <w:divId w:val="152"/>
        <w:rPr>
          <w:vanish w:val="0"/>
        </w:rPr>
      </w:pPr>
      <w:r>
        <w:t xml:space="preserve">2. Giấy chứng nhận lưu hành, Tem lưu hành phải có cùng một seri và có nội dung </w:t>
      </w:r>
      <w:r>
        <w:t xml:space="preserve">phù hợp</w:t>
      </w:r>
      <w:r>
        <w:t xml:space="preserve"> với thông số kỹ thuật của Xe; Giấy chứng nhận lưu hành được giao cho chủ xe để mang theo khi lưu hành trên đường, Tem lưu hành được dán tại góc trên bên phải kính chắn gió phía trước Xe. Trường hợp Giấy chứng nhận lưu hành, Tem lưu hành bị mất, hư hỏng, rách nát thì chủ xe phải đưa Xe đi kiểm tra lưu hành để cấp lại.</w:t>
      </w:r>
    </w:p>
    <w:p>
      <w:pPr>
        <w:pStyle w:val="Normal(Web)"/>
        <w:divId w:val="153"/>
        <w:rPr>
          <w:vanish w:val="0"/>
        </w:rPr>
      </w:pPr>
      <w:r>
        <w:t xml:space="preserve">3. Khi phát hiện hồ sơ do chủ xe cung cấp bị </w:t>
      </w:r>
      <w:r>
        <w:t xml:space="preserve">là</w:t>
      </w:r>
      <w:r>
        <w:t xml:space="preserve">m giả, sửa chữa, tẩy xóa hoặc Giấy chứng nhận lưu hành, Tem lưu hành đã cấp không phù hợp với Xe đã kiểm tra, các Đơn vị đăng kiểm phải thông báo cho cơ quan chức năng để có biện pháp xử lý theo quy định của pháp luật và có trách nhiệm thu hồi Giấy chứng nhận lưu hành, Tem lưu hành đã cấp (nếu còn hiệu lực).</w:t>
      </w:r>
    </w:p>
    <w:p>
      <w:pPr>
        <w:pStyle w:val="Normal(Web)"/>
        <w:divId w:val="154"/>
        <w:rPr>
          <w:vanish w:val="0"/>
        </w:rPr>
      </w:pPr>
      <w:r>
        <w:t xml:space="preserve">4. Giấy chứng nhận lưu hành, Tem lưu hành hết hiệu lực khi:</w:t>
      </w:r>
    </w:p>
    <w:p>
      <w:pPr>
        <w:pStyle w:val="Normal(Web)"/>
        <w:divId w:val="155"/>
        <w:rPr>
          <w:vanish w:val="0"/>
        </w:rPr>
      </w:pPr>
      <w:r>
        <w:t xml:space="preserve">a) Xe đã được cấp Giấy chứng nhận lưu hành và Tem lưu hành mới;</w:t>
      </w:r>
    </w:p>
    <w:p>
      <w:pPr>
        <w:pStyle w:val="Normal(Web)"/>
        <w:divId w:val="156"/>
        <w:rPr>
          <w:vanish w:val="0"/>
        </w:rPr>
      </w:pPr>
      <w:r>
        <w:t xml:space="preserve">b) Đã có khai báo mất của chủ Xe;</w:t>
      </w:r>
    </w:p>
    <w:p>
      <w:pPr>
        <w:pStyle w:val="Normal(Web)"/>
        <w:divId w:val="157"/>
        <w:rPr>
          <w:vanish w:val="0"/>
        </w:rPr>
      </w:pPr>
      <w:r>
        <w:t xml:space="preserve">c) Đã có thông báo thu hồi của các Đơn vị đăng kiểm;</w:t>
      </w:r>
    </w:p>
    <w:p>
      <w:pPr>
        <w:pStyle w:val="Normal(Web)"/>
        <w:divId w:val="158"/>
        <w:rPr>
          <w:vanish w:val="0"/>
        </w:rPr>
      </w:pPr>
      <w:r>
        <w:t xml:space="preserve">d) Xe bị tai nạn đến mức không đảm bảo an toàn kỹ thuật và bảo vệ môi trường.</w:t>
      </w:r>
    </w:p>
    <w:p>
      <w:pPr>
        <w:pStyle w:val="Normal(Web)"/>
        <w:divId w:val="159"/>
        <w:rPr>
          <w:vanish w:val="0"/>
        </w:rPr>
      </w:pPr>
      <w:r>
        <w:t xml:space="preserve">Điều 17. Báo cáo và lưu trữ hồ sơ</w:t>
      </w:r>
    </w:p>
    <w:p>
      <w:pPr>
        <w:pStyle w:val="Normal(Web)"/>
        <w:divId w:val="160"/>
        <w:rPr>
          <w:vanish w:val="0"/>
        </w:rPr>
      </w:pPr>
      <w:r>
        <w:t xml:space="preserve">1. Các Đơn vị đăng kiểm gửi báo cáo công tác kiểm tra lưu hành về Cục Đăng kiểm Việt Nam cùng với báo cáo công tác kiểm tra lưu hành xe cơ giới.</w:t>
      </w:r>
    </w:p>
    <w:p>
      <w:pPr>
        <w:pStyle w:val="Normal(Web)"/>
        <w:divId w:val="161"/>
        <w:rPr>
          <w:vanish w:val="0"/>
        </w:rPr>
      </w:pPr>
      <w:r>
        <w:t xml:space="preserve">2. Báo cáo đột xuất khi có yêu cầu của cơ quan có thẩm quyền.</w:t>
      </w:r>
    </w:p>
    <w:p>
      <w:pPr>
        <w:pStyle w:val="Normal(Web)"/>
        <w:divId w:val="162"/>
        <w:rPr>
          <w:vanish w:val="0"/>
        </w:rPr>
      </w:pPr>
      <w:r>
        <w:t xml:space="preserve">3. Lưu trữ</w:t>
      </w:r>
    </w:p>
    <w:p>
      <w:pPr>
        <w:pStyle w:val="Normal(Web)"/>
        <w:divId w:val="163"/>
        <w:rPr>
          <w:vanish w:val="0"/>
        </w:rPr>
      </w:pPr>
      <w:r>
        <w:t xml:space="preserve">a) Hồ sơ Xe, hồ sơ kiểm tra lưu hành và các giấy tờ liên quan được lưu trữ tại các Đơn vị đăng kiểm;</w:t>
      </w:r>
    </w:p>
    <w:p>
      <w:pPr>
        <w:pStyle w:val="Normal(Web)"/>
        <w:divId w:val="164"/>
        <w:rPr>
          <w:vanish w:val="0"/>
        </w:rPr>
      </w:pPr>
      <w:r>
        <w:t xml:space="preserve">b) Hồ sơ kiểm tra lưu hành, phiếu ghi nhận kết quả của các lần kiểm tra lưu hành phải được lưu trữ trong thời hạn 03 năm, kể từ ngày kiểm tra lưu hành;</w:t>
      </w:r>
    </w:p>
    <w:p>
      <w:pPr>
        <w:pStyle w:val="Normal(Web)"/>
        <w:divId w:val="165"/>
        <w:rPr>
          <w:vanish w:val="0"/>
        </w:rPr>
      </w:pPr>
      <w:r>
        <w:t xml:space="preserve">c) Cục Đăng kiểm Việt Nam hướng dẫn các Đơn vị đăng kiểm về việc lưu trữ hồ sơ Xe và hồ sơ kiểm tra lưu hành.</w:t>
      </w:r>
    </w:p>
    <w:p>
      <w:pPr>
        <w:pStyle w:val="Normal(Web)"/>
        <w:divId w:val="166"/>
        <w:jc w:val="center"/>
        <w:rPr>
          <w:vanish w:val="0"/>
        </w:rPr>
      </w:pPr>
      <w:r>
        <w:t xml:space="preserve">Chương V</w:t>
      </w:r>
    </w:p>
    <w:p>
      <w:pPr>
        <w:pStyle w:val="Normal(Web)"/>
        <w:divId w:val="167"/>
        <w:jc w:val="center"/>
        <w:rPr>
          <w:vanish w:val="0"/>
        </w:rPr>
      </w:pPr>
      <w:r>
        <w:t xml:space="preserve">QUY ĐỊNH VỀ ĐIỀU KIỆN THAM GIA GIAO THÔNG TRONG PHẠM VI HẠN CHẾ</w:t>
      </w:r>
    </w:p>
    <w:p>
      <w:pPr>
        <w:pStyle w:val="Normal(Web)"/>
        <w:divId w:val="168"/>
        <w:rPr>
          <w:vanish w:val="0"/>
        </w:rPr>
      </w:pPr>
      <w:r>
        <w:t xml:space="preserve">Điều 18. Điều kiện đối với người điều khiển Xe</w:t>
      </w:r>
    </w:p>
    <w:p>
      <w:pPr>
        <w:pStyle w:val="Normal(Web)"/>
        <w:divId w:val="169"/>
        <w:rPr>
          <w:vanish w:val="0"/>
        </w:rPr>
      </w:pPr>
      <w:r>
        <w:t xml:space="preserve">Người điều khiển Xe phải có Giấy phép lái xe từ hạng B2 trở lên và phải tuân thủ theo quy định tại Điều 58 Luật Giao thông đường bộ năm 2008.</w:t>
      </w:r>
    </w:p>
    <w:p>
      <w:pPr>
        <w:pStyle w:val="Normal(Web)"/>
        <w:divId w:val="170"/>
        <w:rPr>
          <w:vanish w:val="0"/>
        </w:rPr>
      </w:pPr>
      <w:r>
        <w:t xml:space="preserve">Điều 19. Điều kiện đối với Xe tham gia giao thông</w:t>
      </w:r>
    </w:p>
    <w:p>
      <w:pPr>
        <w:pStyle w:val="Normal(Web)"/>
        <w:divId w:val="171"/>
        <w:rPr>
          <w:vanish w:val="0"/>
        </w:rPr>
      </w:pPr>
      <w:r>
        <w:t xml:space="preserve">1. Giấy đăng ký và biển số Xe do cơ quan nhà nước có thẩm quyền cấp.</w:t>
      </w:r>
    </w:p>
    <w:p>
      <w:pPr>
        <w:pStyle w:val="Normal(Web)"/>
        <w:divId w:val="172"/>
        <w:rPr>
          <w:vanish w:val="0"/>
        </w:rPr>
      </w:pPr>
      <w:r>
        <w:t xml:space="preserve">2. Giấy chứng nhận lưu hành còn hiệu lực.</w:t>
      </w:r>
    </w:p>
    <w:p>
      <w:pPr>
        <w:pStyle w:val="Normal(Web)"/>
        <w:divId w:val="173"/>
        <w:rPr>
          <w:vanish w:val="0"/>
        </w:rPr>
      </w:pPr>
      <w:r>
        <w:t xml:space="preserve">3. Giấy chứng nhận bảo hiểm trách nhiệm dân sự còn hiệu lực.</w:t>
      </w:r>
    </w:p>
    <w:p>
      <w:pPr>
        <w:pStyle w:val="Normal(Web)"/>
        <w:divId w:val="174"/>
        <w:rPr>
          <w:vanish w:val="0"/>
        </w:rPr>
      </w:pPr>
      <w:r>
        <w:t xml:space="preserve">Điều 20. Chấp hành quy định khi tham gia giao thông</w:t>
      </w:r>
    </w:p>
    <w:p>
      <w:pPr>
        <w:pStyle w:val="Normal(Web)"/>
        <w:divId w:val="175"/>
        <w:rPr>
          <w:vanish w:val="0"/>
        </w:rPr>
      </w:pPr>
      <w:r>
        <w:t xml:space="preserve">1. Việc chấp hành quy tắc giao thông đường bộ, mức xử phạt và các biện pháp khắc phục hậu quả vi phạm hành chính trong lĩnh vực giao thông đường bộ theo quy định của Chính phủ và áp dụng theo loại phương tiện tương tự xe ô tô chở người từ 15 chỗ trở xuống.</w:t>
      </w:r>
    </w:p>
    <w:p>
      <w:pPr>
        <w:pStyle w:val="Normal(Web)"/>
        <w:divId w:val="176"/>
        <w:rPr>
          <w:vanish w:val="0"/>
        </w:rPr>
      </w:pPr>
      <w:r>
        <w:t xml:space="preserve">2. Phạm vi, tuyến đường hoạt động và thời gian hoạt động đối với xe chở người bốn bánh có gắn động cơ do </w:t>
      </w:r>
      <w:r>
        <w:t xml:space="preserve">Ủy ban</w:t>
      </w:r>
      <w:r>
        <w:t xml:space="preserve"> nhân dân các tỉnh, thành phố trực thuộc Trung ương quy định.</w:t>
      </w:r>
    </w:p>
    <w:p>
      <w:pPr>
        <w:pStyle w:val="Normal(Web)"/>
        <w:divId w:val="177"/>
        <w:jc w:val="center"/>
        <w:rPr>
          <w:vanish w:val="0"/>
        </w:rPr>
      </w:pPr>
      <w:r>
        <w:rPr>
          <w:b/>
        </w:rPr>
        <w:t xml:space="preserve">Ch</w:t>
      </w:r>
      <w:r>
        <w:rPr>
          <w:b/>
        </w:rPr>
        <w:t xml:space="preserve">ương VI</w:t>
      </w:r>
    </w:p>
    <w:p>
      <w:pPr>
        <w:pStyle w:val="Normal(Web)"/>
        <w:divId w:val="178"/>
        <w:jc w:val="center"/>
        <w:rPr>
          <w:vanish w:val="0"/>
        </w:rPr>
      </w:pPr>
      <w:r>
        <w:t xml:space="preserve">ĐIỀU KHOẢN THI HÀNH</w:t>
      </w:r>
    </w:p>
    <w:p>
      <w:pPr>
        <w:pStyle w:val="Normal(Web)"/>
        <w:divId w:val="179"/>
        <w:rPr>
          <w:vanish w:val="0"/>
        </w:rPr>
      </w:pPr>
      <w:r>
        <w:t xml:space="preserve">Điều 21. Trách nhiệm của Cục Đăng kiểm Việt Nam</w:t>
      </w:r>
    </w:p>
    <w:p>
      <w:pPr>
        <w:pStyle w:val="Normal(Web)"/>
        <w:divId w:val="180"/>
        <w:rPr>
          <w:vanish w:val="0"/>
        </w:rPr>
      </w:pPr>
      <w:r>
        <w:t xml:space="preserve">1. Cục Đăng kiểm Việt Nam là Cơ quan quản lý nhà nước về chất lượng an toàn kỹ thuật và bảo vệ môi trường đối với các Xe thuộc phạm vi điều chỉnh của Thông tư này; chịu trách nhiệm tổ chức hướng dẫn, chỉ đạo chuyên môn nghiệp vụ về kiểm tra chất lượng trong sản xuất, lắp ráp, nhập khẩu, </w:t>
      </w:r>
      <w:r>
        <w:t xml:space="preserve">kiểm tra</w:t>
      </w:r>
      <w:r>
        <w:t xml:space="preserve"> lưu hành và kiểm tra thực hiện Thông tư này.</w:t>
      </w:r>
    </w:p>
    <w:p>
      <w:pPr>
        <w:pStyle w:val="Normal(Web)"/>
        <w:divId w:val="181"/>
        <w:rPr>
          <w:vanish w:val="0"/>
        </w:rPr>
      </w:pPr>
      <w:r>
        <w:t xml:space="preserve">2. Thống nhất phát hành, quản lý và hướng dẫn sử dụng các Giấy chứng nhận; phôi Phiếu kiểm tra chất lượng xuất xưởng, Giấy chứng nhận lưu hành và Tem lưu hành theo quy định của Thông tư này.</w:t>
      </w:r>
    </w:p>
    <w:p>
      <w:pPr>
        <w:pStyle w:val="Normal(Web)"/>
        <w:divId w:val="182"/>
        <w:rPr>
          <w:vanish w:val="0"/>
        </w:rPr>
      </w:pPr>
      <w:r>
        <w:t xml:space="preserve">3. Thông báo danh sách các Cơ sở thử nghiệm thực hiện việc thử nghiệm phục vụ cho công tác chứng nhận chất lượng an toàn kỹ thuật và bảo vệ môi trường trên Trang thông tin điện tử Cục Đăng kiểm Việt Nam.</w:t>
      </w:r>
    </w:p>
    <w:p>
      <w:pPr>
        <w:pStyle w:val="Normal(Web)"/>
        <w:divId w:val="183"/>
        <w:rPr>
          <w:vanish w:val="0"/>
        </w:rPr>
      </w:pPr>
      <w:r>
        <w:t xml:space="preserve">4. Tổ chức kiểm tra định kỳ hoặc đột xuất đối với việc thực hiện đảm bảo chất lượng của Cơ sở sản xuất, kiểm tra lưu hành của các Đơn vị đăng kiểm.</w:t>
      </w:r>
    </w:p>
    <w:p>
      <w:pPr>
        <w:pStyle w:val="Normal(Web)"/>
        <w:divId w:val="184"/>
        <w:rPr>
          <w:vanish w:val="0"/>
        </w:rPr>
      </w:pPr>
      <w:r>
        <w:t xml:space="preserve">5. Báo cáo việc thực hiện kiểm tra chất lượng, kiểm tra lưu hành an toàn kỹ thuật và bảo vệ môi trường đối với các loại Xe theo quy định.</w:t>
      </w:r>
    </w:p>
    <w:p>
      <w:pPr>
        <w:pStyle w:val="Normal(Web)"/>
        <w:divId w:val="185"/>
        <w:rPr>
          <w:vanish w:val="0"/>
        </w:rPr>
      </w:pPr>
      <w:r>
        <w:t xml:space="preserve">Điều 22. Trách nhiệm của Cơ sở thử nghiệm</w:t>
      </w:r>
    </w:p>
    <w:p>
      <w:pPr>
        <w:pStyle w:val="Normal(Web)"/>
        <w:divId w:val="186"/>
        <w:rPr>
          <w:vanish w:val="0"/>
        </w:rPr>
      </w:pPr>
      <w:r>
        <w:t xml:space="preserve">1. Trang bị đầy đủ các điều kiện để thực hiện kiểm tra, thử nghiệm theo các quy định tại Thông tư này và các văn bản quy phạm pháp luật liên quan.</w:t>
      </w:r>
    </w:p>
    <w:p>
      <w:pPr>
        <w:pStyle w:val="Normal(Web)"/>
        <w:divId w:val="187"/>
        <w:rPr>
          <w:vanish w:val="0"/>
        </w:rPr>
      </w:pPr>
      <w:r>
        <w:t xml:space="preserve">2. Thực hiện kiểm tra, thử nghiệm và lập Báo cáo kết quả thử nghiệm theo đúng quy định và chịu trách nhiệm về kết quả kiểm tra, thử nghiệm.</w:t>
      </w:r>
    </w:p>
    <w:p>
      <w:pPr>
        <w:pStyle w:val="Normal(Web)"/>
        <w:divId w:val="188"/>
        <w:rPr>
          <w:vanish w:val="0"/>
        </w:rPr>
      </w:pPr>
      <w:r>
        <w:t xml:space="preserve">Điều 23. Trách nhiệm của Sở Giao thông vận tải</w:t>
      </w:r>
    </w:p>
    <w:p>
      <w:pPr>
        <w:pStyle w:val="Normal(Web)"/>
        <w:divId w:val="189"/>
        <w:rPr>
          <w:vanish w:val="0"/>
        </w:rPr>
      </w:pPr>
      <w:r>
        <w:t xml:space="preserve">1. Báo cáo, xây dựng và trình </w:t>
      </w:r>
      <w:r>
        <w:t xml:space="preserve">Ủy ban</w:t>
      </w:r>
      <w:r>
        <w:t xml:space="preserve"> nhân dân tỉnh, thành phố trực thuộc Trung ương ban hành quy định phạm vi, tuyến đường và thời gian hoạt động đối với Xe theo quy định tại Điều 20 Thông tư này và phù hợp tình hình thực tế </w:t>
      </w:r>
      <w:r>
        <w:t xml:space="preserve">của</w:t>
      </w:r>
      <w:r>
        <w:t xml:space="preserve"> địa phương.</w:t>
      </w:r>
    </w:p>
    <w:p>
      <w:pPr>
        <w:pStyle w:val="Normal(Web)"/>
        <w:divId w:val="190"/>
        <w:rPr>
          <w:vanish w:val="0"/>
        </w:rPr>
      </w:pPr>
      <w:r>
        <w:t xml:space="preserve">2. Kiểm tra và xử lý hành vi vi phạm pháp luật của các cá nhân, Đơn vị đăng kiểm xe cơ giới tại địa phương trong hoạt động kiểm tra lưu hành Xe.</w:t>
      </w:r>
    </w:p>
    <w:p>
      <w:pPr>
        <w:pStyle w:val="Normal(Web)"/>
        <w:divId w:val="191"/>
        <w:rPr>
          <w:vanish w:val="0"/>
        </w:rPr>
      </w:pPr>
      <w:r>
        <w:t xml:space="preserve">Điều 24. Trách nhiệm của Đơn vị đăng kiểm xe cơ giới</w:t>
      </w:r>
    </w:p>
    <w:p>
      <w:pPr>
        <w:pStyle w:val="Normal(Web)"/>
        <w:divId w:val="192"/>
        <w:rPr>
          <w:vanish w:val="0"/>
        </w:rPr>
      </w:pPr>
      <w:r>
        <w:t xml:space="preserve">1. Thực hiện việc kiểm tra lưu hành và cấp Giấy chứng nhận lưu hành, Tem lưu hành cho Xe theo quy định. Người đứng đầu Đơn vị đăng kiểm và đăng kiểm viên trực tiếp thực hiện kiểm tra lưu hành phải chịu trách nhiệm về kết quả kiểm tra.</w:t>
      </w:r>
    </w:p>
    <w:p>
      <w:pPr>
        <w:pStyle w:val="Normal(Web)"/>
        <w:divId w:val="193"/>
        <w:rPr>
          <w:vanish w:val="0"/>
        </w:rPr>
      </w:pPr>
      <w:r>
        <w:t xml:space="preserve">2. Công khai trình tự, thủ tục, nội dung, quy trình, tiêu chuẩn, quy định, phí, lệ phí và thời gian làm việc.</w:t>
      </w:r>
    </w:p>
    <w:p>
      <w:pPr>
        <w:pStyle w:val="Normal(Web)"/>
        <w:divId w:val="194"/>
        <w:rPr>
          <w:vanish w:val="0"/>
        </w:rPr>
      </w:pPr>
      <w:r>
        <w:t xml:space="preserve">3. Thực hiện chế độ lưu trữ, báo cáo theo quy định. Truyền số liệu kiểm tra hàng ngày, bảo quản mật khẩu và cập nhật số liệu cảnh báo từ mạng dữ liệu Cục Đăng kiểm Việt Nam.</w:t>
      </w:r>
    </w:p>
    <w:p>
      <w:pPr>
        <w:pStyle w:val="Normal(Web)"/>
        <w:divId w:val="195"/>
        <w:rPr>
          <w:vanish w:val="0"/>
        </w:rPr>
      </w:pPr>
      <w:r>
        <w:t xml:space="preserve">4. Gửi báo cáo định kỳ trước ngày 05 hàng tháng về việc kiểm tra lưu hành Xe về Cục Đăng kiểm Việt Nam và Sở Giao thông vận tải.</w:t>
      </w:r>
    </w:p>
    <w:p>
      <w:pPr>
        <w:pStyle w:val="Normal(Web)"/>
        <w:divId w:val="196"/>
        <w:rPr>
          <w:vanish w:val="0"/>
        </w:rPr>
      </w:pPr>
      <w:r>
        <w:t xml:space="preserve">5. Chấp hành và tạo điều kiện thuận lợi cho việc thanh tra, kiểm tra, giám sát hoạt động kiểm tra lưu hành của cơ quan chức năng.</w:t>
      </w:r>
    </w:p>
    <w:p>
      <w:pPr>
        <w:pStyle w:val="Normal(Web)"/>
        <w:divId w:val="197"/>
        <w:rPr>
          <w:vanish w:val="0"/>
        </w:rPr>
      </w:pPr>
      <w:r>
        <w:t xml:space="preserve">Điều 25. Trách nhiệm của Cơ sở sản xuất, Cơ sở nhập khẩu</w:t>
      </w:r>
    </w:p>
    <w:p>
      <w:pPr>
        <w:pStyle w:val="Normal(Web)"/>
        <w:divId w:val="198"/>
        <w:rPr>
          <w:vanish w:val="0"/>
        </w:rPr>
      </w:pPr>
      <w:r>
        <w:t xml:space="preserve">1. Chịu trách nhiệm về tính chính xác, trung thực của hồ sơ tài liệu đã cung cấp cho Cục Đăng kiểm Việt Nam.</w:t>
      </w:r>
    </w:p>
    <w:p>
      <w:pPr>
        <w:pStyle w:val="Normal(Web)"/>
        <w:divId w:val="199"/>
        <w:rPr>
          <w:vanish w:val="0"/>
        </w:rPr>
      </w:pPr>
      <w:r>
        <w:t xml:space="preserve">2. Hợp tác đầy đủ với Cục Đăng kiểm Việt Nam trong quá trình thanh tra, kiểm tra về chất lượng sản phẩm.</w:t>
      </w:r>
    </w:p>
    <w:p>
      <w:pPr>
        <w:pStyle w:val="Normal(Web)"/>
        <w:divId w:val="200"/>
        <w:rPr>
          <w:vanish w:val="0"/>
        </w:rPr>
      </w:pPr>
      <w:r>
        <w:t xml:space="preserve">3. Thực hiện việc triệu hồi sản phẩm theo quy định tại Điều 22 của Luật Bảo vệ quyền lợi người tiêu dùng khi phát hiện sản phẩm bị lỗi kỹ thuật.</w:t>
      </w:r>
    </w:p>
    <w:p>
      <w:pPr>
        <w:pStyle w:val="Normal(Web)"/>
        <w:divId w:val="201"/>
        <w:rPr>
          <w:vanish w:val="0"/>
        </w:rPr>
      </w:pPr>
      <w:r>
        <w:t xml:space="preserve">4. Chịu trách nhiệm trước pháp luật nếu vi phạm quy định về quyền sở hữu công nghiệp đang được bảo hộ.</w:t>
      </w:r>
    </w:p>
    <w:p>
      <w:pPr>
        <w:pStyle w:val="Normal(Web)"/>
        <w:divId w:val="202"/>
        <w:rPr>
          <w:vanish w:val="0"/>
        </w:rPr>
      </w:pPr>
      <w:r>
        <w:t xml:space="preserve">5. Có trách nhiệm chuyển Xe mẫu thử nghiệm tới địa điểm thử nghiệm.</w:t>
      </w:r>
    </w:p>
    <w:p>
      <w:pPr>
        <w:pStyle w:val="Normal(Web)"/>
        <w:divId w:val="203"/>
        <w:rPr>
          <w:vanish w:val="0"/>
        </w:rPr>
      </w:pPr>
      <w:r>
        <w:t xml:space="preserve">6. Cơ sở sản xuất phải xây dựng hệ thống quản lý chất lượng nhằm đảm bảo việc duy trì chất lượng các sản phẩm sản xuất hàng loạt.</w:t>
      </w:r>
    </w:p>
    <w:p>
      <w:pPr>
        <w:pStyle w:val="Normal(Web)"/>
        <w:divId w:val="204"/>
        <w:rPr>
          <w:vanish w:val="0"/>
        </w:rPr>
      </w:pPr>
      <w:r>
        <w:t xml:space="preserve">7. Cơ sở nhập khẩu phải xuất trình nguyên trạng Xe để Cục Đăng kiểm Việt Nam thực hiện việc kiểm tra, thử nghiệm tại địa điểm đã được thống nhất </w:t>
      </w:r>
      <w:r>
        <w:t xml:space="preserve">với</w:t>
      </w:r>
      <w:r>
        <w:t xml:space="preserve"> Cục Đăng kiểm Việt Nam.</w:t>
      </w:r>
    </w:p>
    <w:p>
      <w:pPr>
        <w:pStyle w:val="Normal(Web)"/>
        <w:divId w:val="205"/>
        <w:rPr>
          <w:vanish w:val="0"/>
        </w:rPr>
      </w:pPr>
      <w:r>
        <w:t xml:space="preserve">Điều 26. Trách nhiệm của chủ xe</w:t>
      </w:r>
    </w:p>
    <w:p>
      <w:pPr>
        <w:pStyle w:val="Normal(Web)"/>
        <w:divId w:val="206"/>
        <w:rPr>
          <w:vanish w:val="0"/>
        </w:rPr>
      </w:pPr>
      <w:r>
        <w:t xml:space="preserve">Ngoài việc thực hiện các nội dung quy định về kiểm tra lưu hành, chủ xe còn có trách nhiệm thực hiện các quy định sau đây:</w:t>
      </w:r>
    </w:p>
    <w:p>
      <w:pPr>
        <w:pStyle w:val="Normal(Web)"/>
        <w:divId w:val="207"/>
        <w:rPr>
          <w:vanish w:val="0"/>
        </w:rPr>
      </w:pPr>
      <w:r>
        <w:t xml:space="preserve">1. Không được làm giả, tự bóc, dán, tẩy xóa, sửa đổi các nội dung của Giấy chứng nhận lưu hành, Tem lưu hành.</w:t>
      </w:r>
    </w:p>
    <w:p>
      <w:pPr>
        <w:pStyle w:val="Normal(Web)"/>
        <w:divId w:val="208"/>
        <w:rPr>
          <w:vanish w:val="0"/>
        </w:rPr>
      </w:pPr>
      <w:r>
        <w:t xml:space="preserve">2. Cung cấp chính xác các thông tin cần thiết có liên quan tới nội dung kiểm tra lưu hành, nội dung quản lý hành chính, thông số kỹ thuật của Xe, kể cả việc cung cấp các hồ sơ, tài liệu có liên quan cho các Đơn vị đăng kiểm.</w:t>
      </w:r>
    </w:p>
    <w:p>
      <w:pPr>
        <w:pStyle w:val="Normal(Web)"/>
        <w:divId w:val="209"/>
        <w:rPr>
          <w:vanish w:val="0"/>
        </w:rPr>
      </w:pPr>
      <w:r>
        <w:t xml:space="preserve">3. Thực hiện bảo dưỡng, sửa chữa nhằm duy trì tình trạng kỹ thuật của Xe giữa hai kỳ kiểm tra lưu hành.</w:t>
      </w:r>
    </w:p>
    <w:p>
      <w:pPr>
        <w:pStyle w:val="Normal(Web)"/>
        <w:divId w:val="210"/>
        <w:rPr>
          <w:vanish w:val="0"/>
        </w:rPr>
      </w:pPr>
      <w:r>
        <w:t xml:space="preserve">4. Nộp lại Giấy chứng nhận lưu hành và Tem lưu hành khi có thông báo thu hồi của Đơn vị đăng kiểm.</w:t>
      </w:r>
    </w:p>
    <w:p>
      <w:pPr>
        <w:pStyle w:val="Normal(Web)"/>
        <w:divId w:val="211"/>
        <w:rPr>
          <w:vanish w:val="0"/>
        </w:rPr>
      </w:pPr>
      <w:r>
        <w:t xml:space="preserve">Điều 27. Phí và lệ phí</w:t>
      </w:r>
    </w:p>
    <w:p>
      <w:pPr>
        <w:pStyle w:val="Normal(Web)"/>
        <w:divId w:val="212"/>
        <w:rPr>
          <w:vanish w:val="0"/>
        </w:rPr>
      </w:pPr>
      <w:r>
        <w:t xml:space="preserve">Cục Đăng kiểm Việt Nam, Cơ sở thử nghiệm và Đơn vị đăng kiểm được thu các khoản phí và lệ phí theo quy định của Bộ Tài chính.</w:t>
      </w:r>
    </w:p>
    <w:p>
      <w:pPr>
        <w:pStyle w:val="Normal(Web)"/>
        <w:divId w:val="213"/>
        <w:rPr>
          <w:vanish w:val="0"/>
        </w:rPr>
      </w:pPr>
      <w:r>
        <w:t xml:space="preserve">Điều 28. Hiệu lực thi hành</w:t>
      </w:r>
    </w:p>
    <w:p>
      <w:pPr>
        <w:pStyle w:val="Normal(Web)"/>
        <w:divId w:val="214"/>
        <w:rPr>
          <w:vanish w:val="0"/>
        </w:rPr>
      </w:pPr>
      <w:r>
        <w:t xml:space="preserve">1. Thông tư này có hiệu lực kể từ ngày 15 tháng 3 năm 2015.</w:t>
      </w:r>
    </w:p>
    <w:p>
      <w:pPr>
        <w:pStyle w:val="Normal(Web)"/>
        <w:divId w:val="215"/>
        <w:rPr>
          <w:vanish w:val="0"/>
        </w:rPr>
      </w:pPr>
      <w:r>
        <w:t xml:space="preserve">2. Đối với các Xe tham gia giao thông trong phạm vi hạn chế lưu hành trước ngày Thông tư này có hiệu lực thi hành thì phải thực hiện kiểm tra lưu hành trước ngày 15 tháng 9 năm 2015.</w:t>
      </w:r>
    </w:p>
    <w:p>
      <w:pPr>
        <w:pStyle w:val="Normal(Web)"/>
        <w:divId w:val="216"/>
        <w:rPr>
          <w:vanish w:val="0"/>
        </w:rPr>
      </w:pPr>
      <w:r>
        <w:t xml:space="preserve">3. Đối với Xe đã được kiểm tra, chứng nhận không tham gia giao thông nếu có nhu cầu chuyển đổi để tham gia giao thông trong phạm vi hạn chế thì cần phải kiểm tra, thử nghiệm và chứng nhận như đối với Xe tham gia giao thông trong phạm vi hạn chế.</w:t>
      </w:r>
    </w:p>
    <w:p>
      <w:pPr>
        <w:pStyle w:val="Normal(Web)"/>
        <w:divId w:val="217"/>
        <w:rPr>
          <w:vanish w:val="0"/>
        </w:rPr>
      </w:pPr>
      <w:r>
        <w:t xml:space="preserve">4. Trong </w:t>
      </w:r>
      <w:r>
        <w:t xml:space="preserve">trường hợp</w:t>
      </w:r>
      <w:r>
        <w:t xml:space="preserve"> các văn bản, tài liệu dẫn chiếu trong Thông tư này thay đổi, bổ sung, chuyển đổi thì áp dụng theo văn bản mới.</w:t>
      </w:r>
    </w:p>
    <w:p>
      <w:pPr>
        <w:pStyle w:val="Normal(Web)"/>
        <w:divId w:val="218"/>
        <w:rPr>
          <w:vanish w:val="0"/>
        </w:rPr>
      </w:pPr>
      <w:r>
        <w:t xml:space="preserve">Điều 29. Tổ chức thực hiện</w:t>
      </w:r>
    </w:p>
    <w:p>
      <w:pPr>
        <w:pStyle w:val="Normal(Web)"/>
        <w:divId w:val="219"/>
        <w:rPr>
          <w:vanish w:val="0"/>
        </w:rPr>
      </w:pPr>
      <w:r>
        <w:t xml:space="preserve">Chánh </w:t>
      </w:r>
      <w:r>
        <w:t xml:space="preserve">Văn</w:t>
      </w:r>
      <w:r>
        <w:t xml:space="preserve"> phòng Bộ, Chánh Thanh tra Bộ, các Vụ trưởng, Tổng cục trưởng Tổng cục Đường bộ Việt Nam, Cục trưởng Cục Đăng kiểm Việt Nam, Giám đốc Sở Giao thông vận tải các tỉnh, thành phố trực thuộc Trung ương, Thủ trưởng các cơ quan, tổ chức và cá nhân có liên quan chịu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20"/>
              <w:rPr>
                <w:vanish w:val="0"/>
              </w:rPr>
            </w:pPr>
            <w:r>
              <w:rPr>
                <w:b/>
                <w:i/>
              </w:rPr>
              <w:t xml:space="preserve">Nơi nhận:</w:t>
            </w:r>
            <w:r>
              <w:rPr>
                <w:b/>
                <w:i/>
              </w:rPr>
              <w:br/>
            </w:r>
            <w:r>
              <w:rPr>
                <w:b/>
                <w:i/>
              </w:rPr>
              <w:t xml:space="preserve"> </w:t>
            </w:r>
            <w:r>
              <w:t xml:space="preserve">- Như Điều 29;</w:t>
            </w:r>
            <w:r>
              <w:rPr/>
              <w:br/>
            </w:r>
            <w:r>
              <w:t xml:space="preserve">- Văn phòng Chính phủ;</w:t>
            </w:r>
            <w:r>
              <w:rPr/>
              <w:br/>
            </w:r>
            <w:r>
              <w:t xml:space="preserve">- Các Bộ, Cơ quan ngang Bộ, Cơ quan thuộc CP;</w:t>
            </w:r>
            <w:r>
              <w:rPr/>
              <w:br/>
            </w:r>
            <w:r>
              <w:t xml:space="preserve"> </w:t>
            </w:r>
            <w:r>
              <w:t xml:space="preserve">- UBND</w:t>
            </w:r>
            <w:r>
              <w:t xml:space="preserve"> các tỉnh, TP trực thuộc TW;</w:t>
            </w:r>
            <w:r>
              <w:rPr/>
              <w:br/>
            </w:r>
            <w:r>
              <w:t xml:space="preserve">- Các Thứ trưởng Bộ GTVT;</w:t>
            </w:r>
            <w:r>
              <w:rPr/>
              <w:br/>
            </w:r>
            <w:r>
              <w:t xml:space="preserve">- Cục Kiểm soát thủ tục hành chính (Bộ Tư pháp);</w:t>
            </w:r>
            <w:r>
              <w:rPr/>
              <w:br/>
            </w:r>
            <w:r>
              <w:t xml:space="preserve">- Cục Kiểm tra văn bản (Bộ Tư pháp);</w:t>
            </w:r>
            <w:r>
              <w:rPr/>
              <w:br/>
            </w:r>
            <w:r>
              <w:t xml:space="preserve">- Công báo;</w:t>
            </w:r>
            <w:r>
              <w:rPr/>
              <w:br/>
            </w:r>
            <w:r>
              <w:t xml:space="preserve"> </w:t>
            </w:r>
            <w:r>
              <w:t xml:space="preserve">- Cổng</w:t>
            </w:r>
            <w:r>
              <w:t xml:space="preserve"> TTĐT Chính phủ;</w:t>
            </w:r>
            <w:r>
              <w:rPr/>
              <w:br/>
            </w:r>
            <w:r>
              <w:t xml:space="preserve">- Cổng TTĐT Bộ GTVT;</w:t>
            </w:r>
            <w:r>
              <w:rPr/>
              <w:br/>
            </w:r>
            <w:r>
              <w:t xml:space="preserve">- Báo GT, Tạp chí GTVT;</w:t>
            </w:r>
            <w:r>
              <w:rPr/>
              <w:br/>
            </w:r>
            <w:r>
              <w:t xml:space="preserve">- Lưu: VT, KHCN.</w:t>
            </w:r>
          </w:p>
        </w:tc>
        <w:tc>
          <w:tcPr>
            <w:tcW w:w="0" w:type="auto"/>
            <w:shd w:val="clear" w:color="auto" w:fill="auto"/>
            <w:vAlign w:val="center"/>
          </w:tcPr>
          <w:p>
            <w:pPr>
              <w:pStyle w:val="Normal(Web)"/>
              <w:divId w:val="221"/>
              <w:jc w:val="center"/>
              <w:rPr>
                <w:vanish w:val="0"/>
              </w:rPr>
            </w:pPr>
            <w:r>
              <w:rPr>
                <w:b/>
              </w:rPr>
              <w:t xml:space="preserve">BỘ TRƯỞNG</w:t>
            </w:r>
            <w:r>
              <w:rPr>
                <w:b/>
              </w:rPr>
              <w:br/>
            </w:r>
            <w:r>
              <w:rPr>
                <w:b/>
              </w:rPr>
              <w:br/>
            </w:r>
            <w:r>
              <w:rPr>
                <w:b/>
              </w:rPr>
              <w:br/>
            </w:r>
            <w:r>
              <w:rPr>
                <w:b/>
              </w:rPr>
              <w:br/>
            </w:r>
            <w:r>
              <w:rPr>
                <w:b/>
              </w:rPr>
              <w:br/>
            </w:r>
            <w:r>
              <w:rPr>
                <w:b/>
              </w:rPr>
              <w:t xml:space="preserve">Đinh La Thăng</w:t>
            </w:r>
          </w:p>
        </w:tc>
      </w:tr>
    </w:tbl>
    <w:p>
      <w:pPr>
        <w:pStyle w:val="Normal(Web)"/>
        <w:divId w:val="222"/>
        <w:jc w:val="center"/>
        <w:rPr>
          <w:vanish w:val="0"/>
        </w:rPr>
      </w:pPr>
      <w:r>
        <w:t xml:space="preserve">PHỤ LỤC I</w:t>
      </w:r>
    </w:p>
    <w:p>
      <w:pPr>
        <w:pStyle w:val="Normal(Web)"/>
        <w:divId w:val="223"/>
        <w:jc w:val="center"/>
        <w:rPr>
          <w:vanish w:val="0"/>
        </w:rPr>
      </w:pPr>
      <w:r>
        <w:t xml:space="preserve">HẠNG MỤC KIỂM TRA, THỬ NGHIỆM CHẤT LƯỢNG AN TOÀN KỸ THUẬT VÀ BẢO VỆ MÔI TRƯỜNG XE TRONG SẢN XUẤT, LẮP RÁP VÀ NHẬP KHẨU</w:t>
      </w:r>
      <w:r>
        <w:rPr/>
        <w:br/>
      </w:r>
      <w:r>
        <w:rPr>
          <w:i/>
        </w:rPr>
        <w:t xml:space="preserve">(Ban hành kèm theo Thông tư số 86/2014/TT-BGTVT ngày 31 tháng 12 năm 2014 của Bộ trưởng Bộ Giao thông vận tải)</w:t>
      </w:r>
    </w:p>
    <w:p>
      <w:pPr>
        <w:pStyle w:val="Normal(Web)"/>
        <w:divId w:val="224"/>
        <w:rPr>
          <w:vanish w:val="0"/>
        </w:rPr>
      </w:pPr>
      <w:r>
        <w:rPr>
          <w:b/>
        </w:rPr>
        <w:t xml:space="preserve">1. Yêu cầu chung</w:t>
      </w:r>
    </w:p>
    <w:p>
      <w:pPr>
        <w:pStyle w:val="Normal(Web)"/>
        <w:divId w:val="225"/>
        <w:rPr>
          <w:vanish w:val="0"/>
        </w:rPr>
      </w:pPr>
      <w:r>
        <w:t xml:space="preserve">1.1. Xe và các bộ phận trên Xe phải </w:t>
      </w:r>
      <w:r>
        <w:t xml:space="preserve">phù hợp</w:t>
      </w:r>
      <w:r>
        <w:t xml:space="preserve"> với việc tham gia giao thông bên phải theo quy định và phù hợp với tài liệu kỹ thuật của Xe. Không sử dụng phụ tùng, linh kiện đã qua sử dụng để sản xuất, lắp ráp Xe.</w:t>
      </w:r>
    </w:p>
    <w:p>
      <w:pPr>
        <w:pStyle w:val="Normal(Web)"/>
        <w:divId w:val="226"/>
        <w:rPr>
          <w:vanish w:val="0"/>
        </w:rPr>
      </w:pPr>
      <w:r>
        <w:t xml:space="preserve">1.2. Các mối ghép ren sau khi lắp ráp phải chắc chắn. Lực xiết các mối ghép ren của các chi tiết quan trọng, phải theo quy định của nhà sản xuất.</w:t>
      </w:r>
    </w:p>
    <w:p>
      <w:pPr>
        <w:pStyle w:val="Normal(Web)"/>
        <w:divId w:val="227"/>
        <w:rPr>
          <w:vanish w:val="0"/>
        </w:rPr>
      </w:pPr>
      <w:r>
        <w:t xml:space="preserve">1.3. Không có hiện tượng rò rỉ dung dịch làm mát, nhiên liệu, dầu bôi trơn ở các mối ghép của hệ thống, tổng thành lắp trên xe như: động cơ, ly hợp, hộp số, truyền động, thùng nhiên liệu, bộ chế hòa khí, ống dẫn nhiên liệu.</w:t>
      </w:r>
    </w:p>
    <w:p>
      <w:pPr>
        <w:pStyle w:val="Normal(Web)"/>
        <w:divId w:val="228"/>
        <w:rPr>
          <w:vanish w:val="0"/>
        </w:rPr>
      </w:pPr>
      <w:r>
        <w:rPr>
          <w:b/>
        </w:rPr>
        <w:t xml:space="preserve">2. Kích thước cơ bản</w:t>
      </w:r>
    </w:p>
    <w:p>
      <w:pPr>
        <w:pStyle w:val="Normal(Web)"/>
        <w:divId w:val="229"/>
        <w:rPr>
          <w:vanish w:val="0"/>
        </w:rPr>
      </w:pPr>
      <w:r>
        <w:t xml:space="preserve">2.1. Kích thước chiều dài, chiều rộng, chiều cao của Xe xác định theo TCVN 6528 </w:t>
      </w:r>
      <w:r>
        <w:rPr>
          <w:i/>
        </w:rPr>
        <w:t xml:space="preserve">“Phương tiện giao thông đường bộ - Kích thước phương tiện có động cơ và phương tiện được kéo - Thuật ngữ và định nghĩa”</w:t>
      </w:r>
      <w:r>
        <w:t xml:space="preserve"> phải phù hợp với tài liệu kỹ thuật của Xe nhưng không vượt quá giới hạn sau: chiều dài 5,0 m, chiều rộng 2,0 m, chiều cao 2,5 m.</w:t>
      </w:r>
    </w:p>
    <w:p>
      <w:pPr>
        <w:pStyle w:val="Normal(Web)"/>
        <w:divId w:val="230"/>
        <w:rPr>
          <w:vanish w:val="0"/>
        </w:rPr>
      </w:pPr>
      <w:r>
        <w:t xml:space="preserve">2.2. Sai số cho phép đối với kích thước của Xe được áp dụng theo QCVN 12: 2011/BGTVT </w:t>
      </w:r>
      <w:r>
        <w:rPr>
          <w:i/>
        </w:rPr>
        <w:t xml:space="preserve">“Quy chuẩn kỹ thuật quốc gia về sai số cho phép và làm tròn đối với kích thước, khối lượng của xe cơ giới”</w:t>
      </w:r>
      <w:r>
        <w:t xml:space="preserve"> như đối với ô tô (trừ ô tô chuyên dùng).</w:t>
      </w:r>
    </w:p>
    <w:p>
      <w:pPr>
        <w:pStyle w:val="Normal(Web)"/>
        <w:divId w:val="231"/>
        <w:rPr>
          <w:vanish w:val="0"/>
        </w:rPr>
      </w:pPr>
      <w:r>
        <w:rPr>
          <w:b/>
        </w:rPr>
        <w:t xml:space="preserve">3. Khối lượng</w:t>
      </w:r>
    </w:p>
    <w:p>
      <w:pPr>
        <w:pStyle w:val="Normal(Web)"/>
        <w:divId w:val="232"/>
        <w:rPr>
          <w:vanish w:val="0"/>
        </w:rPr>
      </w:pPr>
      <w:r>
        <w:t xml:space="preserve">3.1. Khối lượng Xe không tải (khối lượng bản thân) là khối lượng của xe ở trạng thái sẵn sàng hoạt động và bao gồm các trang bị sau:</w:t>
      </w:r>
    </w:p>
    <w:p>
      <w:pPr>
        <w:pStyle w:val="Normal(Web)"/>
        <w:divId w:val="233"/>
        <w:rPr>
          <w:vanish w:val="0"/>
        </w:rPr>
      </w:pPr>
      <w:r>
        <w:t xml:space="preserve">3.1.1. Các trang bị phụ do nhà sản xuất cung cấp cần thiết cho hoạt động bình thường của Xe (túi dụng cụ, giá đỡ, tấm chắn gió, thiết bị bảo vệ);</w:t>
      </w:r>
    </w:p>
    <w:p>
      <w:pPr>
        <w:pStyle w:val="Normal(Web)"/>
        <w:divId w:val="234"/>
        <w:rPr>
          <w:vanish w:val="0"/>
        </w:rPr>
      </w:pPr>
      <w:r>
        <w:t xml:space="preserve">3.1.2. Các bộ phận bổ sung hoặc các trang bị tùy chọn do nhà sản xuất cung cấp để lắp kèm theo Xe;</w:t>
      </w:r>
    </w:p>
    <w:p>
      <w:pPr>
        <w:pStyle w:val="Normal(Web)"/>
        <w:divId w:val="235"/>
        <w:rPr>
          <w:vanish w:val="0"/>
        </w:rPr>
      </w:pPr>
      <w:r>
        <w:t xml:space="preserve">3.1.3. Có đủ các chất lỏng (dầu bôi trơn, dung dịch làm mát...) đảm bảo cho Xe hoạt động bình thường;</w:t>
      </w:r>
    </w:p>
    <w:p>
      <w:pPr>
        <w:pStyle w:val="Normal(Web)"/>
        <w:divId w:val="236"/>
        <w:rPr>
          <w:vanish w:val="0"/>
        </w:rPr>
      </w:pPr>
      <w:r>
        <w:t xml:space="preserve">3.1.4. Lượng nhiên liệu trong thùng ít nhất bằng 90% dung tích thùng nhiên liệu theo quy định của nhà sản xuất; đối với Xe sử dụng động cơ điện phải có đủ ắc quy.</w:t>
      </w:r>
    </w:p>
    <w:p>
      <w:pPr>
        <w:pStyle w:val="Normal(Web)"/>
        <w:divId w:val="237"/>
        <w:rPr>
          <w:vanish w:val="0"/>
        </w:rPr>
      </w:pPr>
      <w:r>
        <w:t xml:space="preserve">3.2. Khối lượng toàn bộ lớn nhất của Xe (bao gồm khối lượng xe không tải, khối lượng người trên xe và hành lý) phải </w:t>
      </w:r>
      <w:r>
        <w:t xml:space="preserve">phù hợp</w:t>
      </w:r>
      <w:r>
        <w:t xml:space="preserve"> tài liệu kỹ thuật của Xe.</w:t>
      </w:r>
    </w:p>
    <w:p>
      <w:pPr>
        <w:pStyle w:val="Normal(Web)"/>
        <w:divId w:val="238"/>
        <w:rPr>
          <w:vanish w:val="0"/>
        </w:rPr>
      </w:pPr>
      <w:r>
        <w:t xml:space="preserve">3.2.1. Khối lượng tính toán cho một người được xác định theo quy định của nhà sản xuất nhưng không nhỏ hơn 65 kg.</w:t>
      </w:r>
    </w:p>
    <w:p>
      <w:pPr>
        <w:pStyle w:val="Normal(Web)"/>
        <w:divId w:val="239"/>
        <w:rPr>
          <w:vanish w:val="0"/>
        </w:rPr>
      </w:pPr>
      <w:r>
        <w:t xml:space="preserve">3.2.2. Khối lượng tính toán hành lý của mỗi người ngồi trên Xe không được lớn hơn 10 kg.</w:t>
      </w:r>
    </w:p>
    <w:p>
      <w:pPr>
        <w:pStyle w:val="Normal(Web)"/>
        <w:divId w:val="240"/>
        <w:rPr>
          <w:vanish w:val="0"/>
        </w:rPr>
      </w:pPr>
      <w:r>
        <w:t xml:space="preserve">3.3. Tỷ lệ khối lượng phân bố lên trục dẫn hướng không nhỏ hơn 20% khối lượng Xe. Tỷ lệ khối lượng phân bố được xác định ở hai trạng thái như sau:</w:t>
      </w:r>
    </w:p>
    <w:p>
      <w:pPr>
        <w:pStyle w:val="Normal(Web)"/>
        <w:divId w:val="241"/>
        <w:rPr>
          <w:vanish w:val="0"/>
        </w:rPr>
      </w:pPr>
      <w:r>
        <w:t xml:space="preserve">3.3.1. Trạng thái không tải: Khối lượng Xe không tải và người lái (có khối lượng tương đương 75 kg).</w:t>
      </w:r>
    </w:p>
    <w:p>
      <w:pPr>
        <w:pStyle w:val="Normal(Web)"/>
        <w:divId w:val="242"/>
        <w:rPr>
          <w:vanish w:val="0"/>
        </w:rPr>
      </w:pPr>
      <w:r>
        <w:t xml:space="preserve">3.3.2. Trạng thái đầy tải: Xe có khối lượng toàn bộ lớn nhất theo khoản 3.2 của phụ lục này.</w:t>
      </w:r>
    </w:p>
    <w:p>
      <w:pPr>
        <w:pStyle w:val="Normal(Web)"/>
        <w:divId w:val="243"/>
        <w:rPr>
          <w:vanish w:val="0"/>
        </w:rPr>
      </w:pPr>
      <w:r>
        <w:t xml:space="preserve">3.4. Sai số cho phép đối với khối lượng của Xe được áp dụng theo QCVN 12:2011/BGTVT như đối với ô tô con.</w:t>
      </w:r>
    </w:p>
    <w:p>
      <w:pPr>
        <w:pStyle w:val="Normal(Web)"/>
        <w:divId w:val="244"/>
        <w:rPr>
          <w:vanish w:val="0"/>
        </w:rPr>
      </w:pPr>
      <w:r>
        <w:rPr>
          <w:b/>
        </w:rPr>
        <w:t xml:space="preserve">4. Góc ổn định </w:t>
      </w:r>
      <w:r>
        <w:rPr>
          <w:b/>
        </w:rPr>
        <w:t xml:space="preserve">tĩnh</w:t>
      </w:r>
      <w:r>
        <w:rPr>
          <w:b/>
        </w:rPr>
        <w:t xml:space="preserve"> ngang:</w:t>
      </w:r>
    </w:p>
    <w:p>
      <w:pPr>
        <w:pStyle w:val="Normal(Web)"/>
        <w:divId w:val="245"/>
        <w:rPr>
          <w:vanish w:val="0"/>
        </w:rPr>
      </w:pPr>
      <w:r>
        <w:t xml:space="preserve">Góc ổn định </w:t>
      </w:r>
      <w:r>
        <w:t xml:space="preserve">tĩnh</w:t>
      </w:r>
      <w:r>
        <w:t xml:space="preserve"> ngang của Xe không tải không nhỏ hơn 35°.</w:t>
      </w:r>
    </w:p>
    <w:p>
      <w:pPr>
        <w:pStyle w:val="Normal(Web)"/>
        <w:divId w:val="246"/>
        <w:rPr>
          <w:vanish w:val="0"/>
        </w:rPr>
      </w:pPr>
      <w:r>
        <w:rPr>
          <w:b/>
        </w:rPr>
        <w:t xml:space="preserve">5. Vận tốc lớn nhất</w:t>
      </w:r>
    </w:p>
    <w:p>
      <w:pPr>
        <w:pStyle w:val="Normal(Web)"/>
        <w:divId w:val="247"/>
        <w:rPr>
          <w:vanish w:val="0"/>
        </w:rPr>
      </w:pPr>
      <w:r>
        <w:t xml:space="preserve">Trong điều kiện đầy tải trên đường khô và bằng phẳng, vận tốc lớn nhất không lớn hơn 30 km/h.</w:t>
      </w:r>
    </w:p>
    <w:p>
      <w:pPr>
        <w:pStyle w:val="Normal(Web)"/>
        <w:divId w:val="248"/>
        <w:rPr>
          <w:vanish w:val="0"/>
        </w:rPr>
      </w:pPr>
      <w:r>
        <w:rPr>
          <w:b/>
        </w:rPr>
        <w:t xml:space="preserve">6. Động cơ, hệ thống truyền lực</w:t>
      </w:r>
    </w:p>
    <w:p>
      <w:pPr>
        <w:pStyle w:val="Normal(Web)"/>
        <w:divId w:val="249"/>
        <w:rPr>
          <w:vanish w:val="0"/>
        </w:rPr>
      </w:pPr>
      <w:r>
        <w:t xml:space="preserve">6.1. Ở trạng thái đầy tải trên đường khô, khi chuyển động theo chiều tiến, xe phải vượt được dốc có độ dốc 20 %. Khi thử vượt dốc, động cơ và hệ thống truyền lực phải hoạt động bình thường.</w:t>
      </w:r>
    </w:p>
    <w:p>
      <w:pPr>
        <w:pStyle w:val="Normal(Web)"/>
        <w:divId w:val="250"/>
        <w:rPr>
          <w:vanish w:val="0"/>
        </w:rPr>
      </w:pPr>
      <w:r>
        <w:t xml:space="preserve">6.2. Động cơ và hệ thống truyền lực phải hoạt động bình thường, ổn định ở các chế độ.</w:t>
      </w:r>
    </w:p>
    <w:p>
      <w:pPr>
        <w:pStyle w:val="Normal(Web)"/>
        <w:divId w:val="251"/>
        <w:rPr>
          <w:vanish w:val="0"/>
        </w:rPr>
      </w:pPr>
      <w:r>
        <w:t xml:space="preserve">6.3. Ở trạng thái đầy tải, Xe dẫn động bằng động cơ điện với ắc quy nạp đầy điện phải đi được quãng đường không được nhỏ hơn 50 km.</w:t>
      </w:r>
    </w:p>
    <w:p>
      <w:pPr>
        <w:pStyle w:val="Normal(Web)"/>
        <w:divId w:val="252"/>
        <w:rPr>
          <w:vanish w:val="0"/>
        </w:rPr>
      </w:pPr>
      <w:r>
        <w:rPr>
          <w:b/>
        </w:rPr>
        <w:t xml:space="preserve">7. Hệ thống nhiên liệu</w:t>
      </w:r>
    </w:p>
    <w:p>
      <w:pPr>
        <w:pStyle w:val="Normal(Web)"/>
        <w:divId w:val="253"/>
        <w:rPr>
          <w:vanish w:val="0"/>
        </w:rPr>
      </w:pPr>
      <w:r>
        <w:t xml:space="preserve">7.1. Hệ thống nhiên liệu phải được thiết kế, chế tạo và lắp đặt sao cho các rung động của khung, động cơ và bộ phận chuyển động không ảnh hưởng tới tính năng làm việc của hệ thống nhiên liệu.</w:t>
      </w:r>
    </w:p>
    <w:p>
      <w:pPr>
        <w:pStyle w:val="Normal(Web)"/>
        <w:divId w:val="254"/>
        <w:rPr>
          <w:vanish w:val="0"/>
        </w:rPr>
      </w:pPr>
      <w:r>
        <w:t xml:space="preserve">7.2. Ống dẫn nhiên liệu phải được lắp đặt chắc chắn.</w:t>
      </w:r>
    </w:p>
    <w:p>
      <w:pPr>
        <w:pStyle w:val="Normal(Web)"/>
        <w:divId w:val="255"/>
        <w:rPr>
          <w:vanish w:val="0"/>
        </w:rPr>
      </w:pPr>
      <w:r>
        <w:rPr>
          <w:b/>
        </w:rPr>
        <w:t xml:space="preserve">8. Ống xả</w:t>
      </w:r>
    </w:p>
    <w:p>
      <w:pPr>
        <w:pStyle w:val="Normal(Web)"/>
        <w:divId w:val="256"/>
        <w:rPr>
          <w:vanish w:val="0"/>
        </w:rPr>
      </w:pPr>
      <w:r>
        <w:t xml:space="preserve">8.1. Miệng </w:t>
      </w:r>
      <w:r>
        <w:t xml:space="preserve">thoát</w:t>
      </w:r>
      <w:r>
        <w:t xml:space="preserve"> khí thải của ống xả không được hướng về phía trước và không được hướng về phía bên phải một góc quá 45° so với mặt phẳng dọc.</w:t>
      </w:r>
    </w:p>
    <w:p>
      <w:pPr>
        <w:pStyle w:val="Normal(Web)"/>
        <w:divId w:val="257"/>
        <w:rPr>
          <w:vanish w:val="0"/>
        </w:rPr>
      </w:pPr>
      <w:r>
        <w:t xml:space="preserve">8.2. Ống xả không được đặt ở vị trí có thể gây cháy Xe hoặc ảnh hưởng đến người ngồi trên Xe và gây cản trở hoạt động của hệ thống khác.</w:t>
      </w:r>
    </w:p>
    <w:p>
      <w:pPr>
        <w:pStyle w:val="Normal(Web)"/>
        <w:divId w:val="258"/>
        <w:rPr>
          <w:vanish w:val="0"/>
        </w:rPr>
      </w:pPr>
      <w:r>
        <w:rPr>
          <w:b/>
        </w:rPr>
        <w:t xml:space="preserve">9. Bánh xe</w:t>
      </w:r>
    </w:p>
    <w:p>
      <w:pPr>
        <w:pStyle w:val="Normal(Web)"/>
        <w:divId w:val="259"/>
        <w:rPr>
          <w:vanish w:val="0"/>
        </w:rPr>
      </w:pPr>
      <w:r>
        <w:t xml:space="preserve">9.1. Có kết cấu chắc chắn, lắp đặt đúng quy cách.</w:t>
      </w:r>
    </w:p>
    <w:p>
      <w:pPr>
        <w:pStyle w:val="Normal(Web)"/>
        <w:divId w:val="260"/>
        <w:rPr>
          <w:vanish w:val="0"/>
        </w:rPr>
      </w:pPr>
      <w:r>
        <w:t xml:space="preserve">9.2. Lốp phải đủ số lượng, đủ áp suất, cỡ lốp và chỉ số khả năng chịu tải của lốp phải phù hợp với tài liệu kỹ thuật của Xe.</w:t>
      </w:r>
    </w:p>
    <w:p>
      <w:pPr>
        <w:pStyle w:val="Normal(Web)"/>
        <w:divId w:val="261"/>
        <w:rPr>
          <w:vanish w:val="0"/>
        </w:rPr>
      </w:pPr>
      <w:r>
        <w:rPr>
          <w:b/>
        </w:rPr>
        <w:t xml:space="preserve">10. Hệ thống treo</w:t>
      </w:r>
    </w:p>
    <w:p>
      <w:pPr>
        <w:pStyle w:val="Normal(Web)"/>
        <w:divId w:val="262"/>
        <w:rPr>
          <w:vanish w:val="0"/>
        </w:rPr>
      </w:pPr>
      <w:r>
        <w:t xml:space="preserve">10.1. Chịu được tải trọng tác dụng lên nó, đảm bảo độ êm dịu cần thiết khi vận hành trên đường.</w:t>
      </w:r>
    </w:p>
    <w:p>
      <w:pPr>
        <w:pStyle w:val="Normal(Web)"/>
        <w:divId w:val="263"/>
        <w:rPr>
          <w:vanish w:val="0"/>
        </w:rPr>
      </w:pPr>
      <w:r>
        <w:t xml:space="preserve">10.2. Các chi tiết, cụm chi tiết của hệ thống treo phải lắp đặt chắc chắn và đảm bảo cân bằng Xe.</w:t>
      </w:r>
    </w:p>
    <w:p>
      <w:pPr>
        <w:pStyle w:val="Normal(Web)"/>
        <w:divId w:val="264"/>
        <w:rPr>
          <w:vanish w:val="0"/>
        </w:rPr>
      </w:pPr>
      <w:r>
        <w:rPr>
          <w:b/>
        </w:rPr>
        <w:t xml:space="preserve">11. Hệ thống lái</w:t>
      </w:r>
    </w:p>
    <w:p>
      <w:pPr>
        <w:pStyle w:val="Normal(Web)"/>
        <w:divId w:val="265"/>
        <w:rPr>
          <w:vanish w:val="0"/>
        </w:rPr>
      </w:pPr>
      <w:r>
        <w:t xml:space="preserve">11.1. Đảm bảo cho Xe chuyển hướng chính xác, điều khiển nhẹ nhàng, an toàn ở mọi vận tốc và tải trọng trong phạm vi tính năng kỹ thuật cho phép của Xe.</w:t>
      </w:r>
    </w:p>
    <w:p>
      <w:pPr>
        <w:pStyle w:val="Normal(Web)"/>
        <w:divId w:val="266"/>
        <w:rPr>
          <w:vanish w:val="0"/>
        </w:rPr>
      </w:pPr>
      <w:r>
        <w:t xml:space="preserve">11.2. Khi hoạt động các cơ cấu chuyển động của hệ thống lái không được va chạm với bất kỳ bộ phận nào của Xe như khung, vỏ.</w:t>
      </w:r>
    </w:p>
    <w:p>
      <w:pPr>
        <w:pStyle w:val="Normal(Web)"/>
        <w:divId w:val="267"/>
        <w:rPr>
          <w:vanish w:val="0"/>
        </w:rPr>
      </w:pPr>
      <w:r>
        <w:t xml:space="preserve">11.3. Khi quay vô lăng lái về bên phải và bên trái thì không được có sự khác biệt đáng kể về lực tác động lên vành tay lái.</w:t>
      </w:r>
    </w:p>
    <w:p>
      <w:pPr>
        <w:pStyle w:val="Normal(Web)"/>
        <w:divId w:val="268"/>
        <w:rPr>
          <w:vanish w:val="0"/>
        </w:rPr>
      </w:pPr>
      <w:r>
        <w:t xml:space="preserve">11.4. Độ rơ góc vô lăng lái không lớn hơn 15°.</w:t>
      </w:r>
    </w:p>
    <w:p>
      <w:pPr>
        <w:pStyle w:val="Normal(Web)"/>
        <w:divId w:val="269"/>
        <w:rPr>
          <w:vanish w:val="0"/>
        </w:rPr>
      </w:pPr>
      <w:r>
        <w:t xml:space="preserve">11.5. Bán kính quay vòng nhỏ nhất theo vệt bánh xe trước phía ngoài của Xe phải </w:t>
      </w:r>
      <w:r>
        <w:t xml:space="preserve">phù hợp</w:t>
      </w:r>
      <w:r>
        <w:t xml:space="preserve"> với tài liệu kỹ thuật của Xe và không lớn hơn 12 m.</w:t>
      </w:r>
    </w:p>
    <w:p>
      <w:pPr>
        <w:pStyle w:val="Normal(Web)"/>
        <w:divId w:val="270"/>
        <w:rPr>
          <w:vanish w:val="0"/>
        </w:rPr>
      </w:pPr>
      <w:r>
        <w:t xml:space="preserve">11.6. Độ trượt ngang của bánh xe dẫn hướng không lớn hơn 5 mm/m.</w:t>
      </w:r>
    </w:p>
    <w:p>
      <w:pPr>
        <w:pStyle w:val="Normal(Web)"/>
        <w:divId w:val="271"/>
        <w:rPr>
          <w:vanish w:val="0"/>
        </w:rPr>
      </w:pPr>
      <w:r>
        <w:rPr>
          <w:b/>
        </w:rPr>
        <w:t xml:space="preserve">12. Hệ thống phanh</w:t>
      </w:r>
    </w:p>
    <w:p>
      <w:pPr>
        <w:pStyle w:val="Normal(Web)"/>
        <w:divId w:val="272"/>
        <w:rPr>
          <w:vanish w:val="0"/>
        </w:rPr>
      </w:pPr>
      <w:r>
        <w:t xml:space="preserve">12.1. Yêu cầu về kết cấu</w:t>
      </w:r>
    </w:p>
    <w:p>
      <w:pPr>
        <w:pStyle w:val="Normal(Web)"/>
        <w:divId w:val="273"/>
        <w:rPr>
          <w:vanish w:val="0"/>
        </w:rPr>
      </w:pPr>
      <w:r>
        <w:t xml:space="preserve">12.1.1. Xe phải được trang bị hệ thống phanh chính và phanh đỗ xe.</w:t>
      </w:r>
    </w:p>
    <w:p>
      <w:pPr>
        <w:pStyle w:val="Normal(Web)"/>
        <w:divId w:val="274"/>
        <w:rPr>
          <w:vanish w:val="0"/>
        </w:rPr>
      </w:pPr>
      <w:r>
        <w:t xml:space="preserve">12.1.2. Hệ thống phanh chính và phanh đỗ xe phải dẫn động độc lập với nhau. Dẫn động của hệ thống phanh chính phải là loại từ 2 dòng trở lên và tác động lên tất cả các bánh xe.</w:t>
      </w:r>
    </w:p>
    <w:p>
      <w:pPr>
        <w:pStyle w:val="Normal(Web)"/>
        <w:divId w:val="275"/>
        <w:rPr>
          <w:vanish w:val="0"/>
        </w:rPr>
      </w:pPr>
      <w:r>
        <w:t xml:space="preserve">12.1.3. Hệ thống phanh chính phải có kết cấu và lắp đặt bảo đảm cho người lái điều khiển được phanh khi ngồi trên ghế lái mà không rời hai tay khỏi vô lăng lái.</w:t>
      </w:r>
    </w:p>
    <w:p>
      <w:pPr>
        <w:pStyle w:val="Normal(Web)"/>
        <w:divId w:val="276"/>
        <w:rPr>
          <w:vanish w:val="0"/>
        </w:rPr>
      </w:pPr>
      <w:r>
        <w:t xml:space="preserve">12.1.4. Cơ cấu phanh không được có hiện tượng kẹt, phải tự trở về vị trí ban đầu khi thôi tác động vào cơ cấu điều khiển và phải có kết cấu sao cho các yếu tố như: rung động, quay vòng không ảnh hưởng tới khả năng phanh.</w:t>
      </w:r>
    </w:p>
    <w:p>
      <w:pPr>
        <w:pStyle w:val="Normal(Web)"/>
        <w:divId w:val="277"/>
        <w:rPr>
          <w:vanish w:val="0"/>
        </w:rPr>
      </w:pPr>
      <w:r>
        <w:t xml:space="preserve">12.1.5. Hệ thống phanh phải có kết cấu sao cho không gây cản trở hệ thống lái khi vận hành.</w:t>
      </w:r>
    </w:p>
    <w:p>
      <w:pPr>
        <w:pStyle w:val="Normal(Web)"/>
        <w:divId w:val="278"/>
        <w:rPr>
          <w:vanish w:val="0"/>
        </w:rPr>
      </w:pPr>
      <w:r>
        <w:t xml:space="preserve">12.1.6. Hệ thống phanh chính dẫn động thủy lực phải được thiết kế sao cho có thể kiểm tra mức dầu thủy lực dễ dàng.</w:t>
      </w:r>
    </w:p>
    <w:p>
      <w:pPr>
        <w:pStyle w:val="Normal(Web)"/>
        <w:divId w:val="279"/>
        <w:rPr>
          <w:vanish w:val="0"/>
        </w:rPr>
      </w:pPr>
      <w:r>
        <w:t xml:space="preserve">12.1.7. Dầu phanh trong hệ thống phanh không được rò rỉ. Các ống dẫn dầu phải được định vị chắc chắn và không được rạn nứt.</w:t>
      </w:r>
    </w:p>
    <w:p>
      <w:pPr>
        <w:pStyle w:val="Normal(Web)"/>
        <w:divId w:val="280"/>
        <w:rPr>
          <w:vanish w:val="0"/>
        </w:rPr>
      </w:pPr>
      <w:r>
        <w:t xml:space="preserve">12.1.8. Khi sử dụng, hệ thống phanh đỗ phải có khả năng duy trì được hoạt động mà không cần có lực tác động liên tục của người lái.</w:t>
      </w:r>
    </w:p>
    <w:p>
      <w:pPr>
        <w:pStyle w:val="Normal(Web)"/>
        <w:divId w:val="281"/>
        <w:rPr>
          <w:vanish w:val="0"/>
        </w:rPr>
      </w:pPr>
      <w:r>
        <w:t xml:space="preserve">12.2. Hiệu quả phanh</w:t>
      </w:r>
    </w:p>
    <w:p>
      <w:pPr>
        <w:pStyle w:val="Normal(Web)"/>
        <w:divId w:val="282"/>
        <w:rPr>
          <w:vanish w:val="0"/>
        </w:rPr>
      </w:pPr>
      <w:r>
        <w:t xml:space="preserve">Hiệu quả phanh của Xe được kiểm tra trên đường hoặc kiểm tra trên băng thử phanh, cụ thể như sau:</w:t>
      </w:r>
    </w:p>
    <w:p>
      <w:pPr>
        <w:pStyle w:val="Normal(Web)"/>
        <w:divId w:val="283"/>
        <w:rPr>
          <w:vanish w:val="0"/>
        </w:rPr>
      </w:pPr>
      <w:r>
        <w:t xml:space="preserve">12.2.1. Khi kiểm tra trên đường</w:t>
      </w:r>
    </w:p>
    <w:p>
      <w:pPr>
        <w:pStyle w:val="Normal(Web)"/>
        <w:divId w:val="284"/>
        <w:rPr>
          <w:vanish w:val="0"/>
        </w:rPr>
      </w:pPr>
      <w:r>
        <w:t xml:space="preserve">a) Hệ thống phanh chính</w:t>
      </w:r>
    </w:p>
    <w:p>
      <w:pPr>
        <w:pStyle w:val="Normal(Web)"/>
        <w:divId w:val="285"/>
        <w:rPr>
          <w:vanish w:val="0"/>
        </w:rPr>
      </w:pPr>
      <w:r>
        <w:t xml:space="preserve">- Điều kiện thử: Thử trên mặt đường phủ nhựa hoặc đường bê tông bằng phẳng và khô, hệ số bám j không nhỏ hơn 0,6.</w:t>
      </w:r>
    </w:p>
    <w:p>
      <w:pPr>
        <w:pStyle w:val="Normal(Web)"/>
        <w:divId w:val="286"/>
        <w:rPr>
          <w:vanish w:val="0"/>
        </w:rPr>
      </w:pPr>
      <w:r>
        <w:t xml:space="preserve">- Hiệu quả phanh phải theo yêu cầu trong Bảng 1.</w:t>
      </w:r>
    </w:p>
    <w:p>
      <w:pPr>
        <w:pStyle w:val="Normal(Web)"/>
        <w:divId w:val="287"/>
        <w:jc w:val="center"/>
        <w:rPr>
          <w:vanish w:val="0"/>
        </w:rPr>
      </w:pPr>
      <w:r>
        <w:rPr>
          <w:b/>
        </w:rPr>
        <w:t xml:space="preserve">Bảng 1: Yêu cầu về hiệu quả phanh khi thử trên đường</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88"/>
              <w:jc w:val="center"/>
              <w:rPr>
                <w:vanish w:val="0"/>
              </w:rPr>
            </w:pPr>
            <w:r>
              <w:t xml:space="preserve">Loại xe có vận tốc thiết kế lớn nhất (km/h)</w:t>
            </w:r>
          </w:p>
        </w:tc>
        <w:tc>
          <w:tcPr>
            <w:tcW w:w="0" w:type="auto"/>
            <w:shd w:val="clear" w:color="auto" w:fill="auto"/>
            <w:vAlign w:val="center"/>
          </w:tcPr>
          <w:p>
            <w:pPr>
              <w:pStyle w:val="Normal(Web)"/>
              <w:divId w:val="289"/>
              <w:jc w:val="center"/>
              <w:rPr>
                <w:vanish w:val="0"/>
              </w:rPr>
            </w:pPr>
            <w:r>
              <w:t xml:space="preserve">Vận tốc ban đầu khi phanh (km/h)</w:t>
            </w:r>
          </w:p>
        </w:tc>
        <w:tc>
          <w:tcPr>
            <w:tcW w:w="0" w:type="auto"/>
            <w:shd w:val="clear" w:color="auto" w:fill="auto"/>
            <w:vAlign w:val="center"/>
          </w:tcPr>
          <w:p>
            <w:pPr>
              <w:pStyle w:val="Normal(Web)"/>
              <w:divId w:val="290"/>
              <w:jc w:val="center"/>
              <w:rPr>
                <w:vanish w:val="0"/>
              </w:rPr>
            </w:pPr>
            <w:r>
              <w:t xml:space="preserve">Quãng đường phanh khi đầy tải, S(m)</w:t>
            </w:r>
          </w:p>
        </w:tc>
        <w:tc>
          <w:tcPr>
            <w:tcW w:w="0" w:type="auto"/>
            <w:shd w:val="clear" w:color="auto" w:fill="auto"/>
            <w:vAlign w:val="center"/>
          </w:tcPr>
          <w:p>
            <w:pPr>
              <w:pStyle w:val="Normal(Web)"/>
              <w:divId w:val="291"/>
              <w:jc w:val="center"/>
              <w:rPr>
                <w:vanish w:val="0"/>
              </w:rPr>
            </w:pPr>
            <w:r>
              <w:t xml:space="preserve">Quãng đường phanh khi không tải, S(m)</w:t>
            </w:r>
          </w:p>
        </w:tc>
        <w:tc>
          <w:tcPr>
            <w:tcW w:w="0" w:type="auto"/>
            <w:shd w:val="clear" w:color="auto" w:fill="auto"/>
            <w:vAlign w:val="center"/>
          </w:tcPr>
          <w:p>
            <w:pPr>
              <w:pStyle w:val="Normal(Web)"/>
              <w:divId w:val="292"/>
              <w:jc w:val="center"/>
              <w:rPr>
                <w:vanish w:val="0"/>
              </w:rPr>
            </w:pPr>
            <w:r>
              <w:t xml:space="preserve">Hành lang phanh (m)</w:t>
            </w:r>
          </w:p>
        </w:tc>
      </w:tr>
      <w:tr>
        <w:trPr>
          <w:jc w:val="left"/>
        </w:trPr>
        <w:tc>
          <w:tcPr>
            <w:tcW w:w="0" w:type="auto"/>
            <w:shd w:val="clear" w:color="auto" w:fill="auto"/>
            <w:vAlign w:val="center"/>
          </w:tcPr>
          <w:p>
            <w:pPr>
              <w:pStyle w:val="Normal(Web)"/>
              <w:divId w:val="293"/>
              <w:jc w:val="center"/>
              <w:rPr>
                <w:vanish w:val="0"/>
              </w:rPr>
            </w:pPr>
            <w:r>
              <w:t xml:space="preserve">10</w:t>
            </w:r>
          </w:p>
        </w:tc>
        <w:tc>
          <w:tcPr>
            <w:tcW w:w="0" w:type="auto"/>
            <w:shd w:val="clear" w:color="auto" w:fill="auto"/>
            <w:vAlign w:val="center"/>
          </w:tcPr>
          <w:p>
            <w:pPr>
              <w:pStyle w:val="Normal(Web)"/>
              <w:divId w:val="294"/>
              <w:jc w:val="center"/>
              <w:rPr>
                <w:vanish w:val="0"/>
              </w:rPr>
            </w:pPr>
            <w:r>
              <w:t xml:space="preserve">≤ 3,5</w:t>
            </w:r>
          </w:p>
        </w:tc>
        <w:tc>
          <w:tcPr>
            <w:tcW w:w="0" w:type="auto"/>
            <w:shd w:val="clear" w:color="auto" w:fill="auto"/>
            <w:vAlign w:val="center"/>
          </w:tcPr>
          <w:p>
            <w:pPr>
              <w:pStyle w:val="Normal(Web)"/>
              <w:divId w:val="295"/>
              <w:jc w:val="center"/>
              <w:rPr>
                <w:vanish w:val="0"/>
              </w:rPr>
            </w:pPr>
            <w:r>
              <w:t xml:space="preserve">≤ 2,5</w:t>
            </w:r>
          </w:p>
        </w:tc>
        <w:tc>
          <w:tcPr>
            <w:tcW w:w="0" w:type="auto"/>
            <w:shd w:val="clear" w:color="auto" w:fill="auto"/>
            <w:vAlign w:val="center"/>
          </w:tcPr>
          <w:p>
            <w:pPr>
              <w:pStyle w:val="Normal(Web)"/>
              <w:divId w:val="296"/>
              <w:jc w:val="center"/>
              <w:rPr>
                <w:vanish w:val="0"/>
              </w:rPr>
            </w:pPr>
            <w:r>
              <w:t xml:space="preserve">2,5</w:t>
            </w:r>
          </w:p>
        </w:tc>
      </w:tr>
      <w:tr>
        <w:trPr>
          <w:jc w:val="left"/>
        </w:trPr>
        <w:tc>
          <w:tcPr>
            <w:tcW w:w="0" w:type="auto"/>
            <w:shd w:val="clear" w:color="auto" w:fill="auto"/>
            <w:vAlign w:val="center"/>
          </w:tcPr>
          <w:p>
            <w:pPr>
              <w:pStyle w:val="Normal(Web)"/>
              <w:divId w:val="297"/>
              <w:jc w:val="center"/>
              <w:rPr>
                <w:vanish w:val="0"/>
              </w:rPr>
            </w:pPr>
            <w:r>
              <w:t xml:space="preserve">≥ 18 km/h</w:t>
            </w:r>
          </w:p>
          <w:p>
            <w:pPr>
              <w:pStyle w:val="Normal(Web)"/>
              <w:divId w:val="298"/>
              <w:jc w:val="center"/>
              <w:rPr>
                <w:vanish w:val="0"/>
              </w:rPr>
            </w:pPr>
            <w:r>
              <w:t xml:space="preserve">≤ 30 km/h</w:t>
            </w:r>
          </w:p>
        </w:tc>
        <w:tc>
          <w:tcPr>
            <w:tcW w:w="0" w:type="auto"/>
            <w:shd w:val="clear" w:color="auto" w:fill="auto"/>
            <w:vAlign w:val="center"/>
          </w:tcPr>
          <w:p>
            <w:pPr>
              <w:pStyle w:val="Normal(Web)"/>
              <w:divId w:val="299"/>
              <w:jc w:val="center"/>
              <w:rPr>
                <w:vanish w:val="0"/>
              </w:rPr>
            </w:pPr>
            <w:r>
              <w:t xml:space="preserve">20</w:t>
            </w:r>
          </w:p>
        </w:tc>
        <w:tc>
          <w:tcPr>
            <w:tcW w:w="0" w:type="auto"/>
            <w:shd w:val="clear" w:color="auto" w:fill="auto"/>
            <w:vAlign w:val="center"/>
          </w:tcPr>
          <w:p>
            <w:pPr>
              <w:pStyle w:val="Normal(Web)"/>
              <w:divId w:val="300"/>
              <w:jc w:val="center"/>
              <w:rPr>
                <w:vanish w:val="0"/>
              </w:rPr>
            </w:pPr>
            <w:r>
              <w:t xml:space="preserve">≤ 6,0</w:t>
            </w:r>
          </w:p>
        </w:tc>
        <w:tc>
          <w:tcPr>
            <w:tcW w:w="0" w:type="auto"/>
            <w:shd w:val="clear" w:color="auto" w:fill="auto"/>
            <w:vAlign w:val="center"/>
          </w:tcPr>
          <w:p>
            <w:pPr>
              <w:pStyle w:val="Normal(Web)"/>
              <w:divId w:val="301"/>
              <w:jc w:val="center"/>
              <w:rPr>
                <w:vanish w:val="0"/>
              </w:rPr>
            </w:pPr>
            <w:r>
              <w:t xml:space="preserve">≤ 5,0</w:t>
            </w:r>
          </w:p>
        </w:tc>
        <w:tc>
          <w:tcPr>
            <w:tcW w:w="0" w:type="auto"/>
            <w:shd w:val="clear" w:color="auto" w:fill="auto"/>
            <w:vAlign w:val="center"/>
          </w:tcPr>
          <w:p>
            <w:pPr>
              <w:pStyle w:val="Normal(Web)"/>
              <w:divId w:val="302"/>
              <w:jc w:val="center"/>
              <w:rPr>
                <w:vanish w:val="0"/>
              </w:rPr>
            </w:pPr>
            <w:r>
              <w:t xml:space="preserve">2,5</w:t>
            </w:r>
          </w:p>
        </w:tc>
      </w:tr>
    </w:tbl>
    <w:p>
      <w:pPr>
        <w:pStyle w:val="Normal(Web)"/>
        <w:divId w:val="303"/>
        <w:rPr>
          <w:vanish w:val="0"/>
        </w:rPr>
      </w:pPr>
      <w:r>
        <w:t xml:space="preserve">b) Hệ thống phanh đỗ: Phải có khả năng giữ Xe (ở trạng thái không tải) đứng yên trên dốc (lên và xuống) có độ dốc 20 %.</w:t>
      </w:r>
    </w:p>
    <w:p>
      <w:pPr>
        <w:pStyle w:val="Normal(Web)"/>
        <w:divId w:val="304"/>
        <w:rPr>
          <w:vanish w:val="0"/>
        </w:rPr>
      </w:pPr>
      <w:r>
        <w:t xml:space="preserve">12.2.2. Khi kiểm tra trên băng thử phanh</w:t>
      </w:r>
    </w:p>
    <w:p>
      <w:pPr>
        <w:pStyle w:val="Normal(Web)"/>
        <w:divId w:val="305"/>
        <w:rPr>
          <w:vanish w:val="0"/>
        </w:rPr>
      </w:pPr>
      <w:r>
        <w:t xml:space="preserve">a) Hệ thống phanh chính:</w:t>
      </w:r>
    </w:p>
    <w:p>
      <w:pPr>
        <w:pStyle w:val="Normal(Web)"/>
        <w:divId w:val="306"/>
        <w:rPr>
          <w:vanish w:val="0"/>
        </w:rPr>
      </w:pPr>
      <w:r>
        <w:t xml:space="preserve">- Tổng lực phanh của hệ thống phanh chính khi phanh không được nhỏ hơn 50% khối lượng của Xe ở trạng thái không tải (có 01 lái xe).</w:t>
      </w:r>
    </w:p>
    <w:p>
      <w:pPr>
        <w:pStyle w:val="Normal(Web)"/>
        <w:divId w:val="307"/>
        <w:rPr>
          <w:vanish w:val="0"/>
        </w:rPr>
      </w:pPr>
      <w:r>
        <w:t xml:space="preserve">- Sai lệch lực phanh giữa bánh xe bên trái và bánh xe bên phải trên một trục không được lớn hơn 20 %.</w:t>
      </w:r>
    </w:p>
    <w:p>
      <w:pPr>
        <w:pStyle w:val="Normal(Web)"/>
        <w:divId w:val="308"/>
        <w:rPr>
          <w:vanish w:val="0"/>
        </w:rPr>
      </w:pPr>
      <w:r>
        <w:t xml:space="preserve">Sai lệch lực phanh trên một trục (giữa bánh bên phải và bên trái) được tính như sau: Sai lệch lực phanh = </w:t>
      </w:r>
    </w:p>
    <w:p>
      <w:pPr>
        <w:pStyle w:val="Normal(Web)"/>
        <w:divId w:val="309"/>
        <w:rPr>
          <w:vanish w:val="0"/>
        </w:rPr>
      </w:pPr>
      <w:r>
        <w:t xml:space="preserve">Trong đó P</w:t>
      </w:r>
      <w:r>
        <w:rPr>
          <w:vertAlign w:val="subscript"/>
        </w:rPr>
        <w:t xml:space="preserve">L</w:t>
      </w:r>
      <w:r>
        <w:t xml:space="preserve">, P</w:t>
      </w:r>
      <w:r>
        <w:rPr>
          <w:vertAlign w:val="subscript"/>
        </w:rPr>
        <w:t xml:space="preserve">N</w:t>
      </w:r>
      <w:r>
        <w:t xml:space="preserve"> là lực phanh của hai bánh xe trên cùng một trục và P</w:t>
      </w:r>
      <w:r>
        <w:rPr>
          <w:vertAlign w:val="subscript"/>
        </w:rPr>
        <w:t xml:space="preserve">L </w:t>
      </w:r>
      <w:r>
        <w:t xml:space="preserve">&gt; P</w:t>
      </w:r>
      <w:r>
        <w:rPr>
          <w:vertAlign w:val="subscript"/>
        </w:rPr>
        <w:t xml:space="preserve">N</w:t>
      </w:r>
      <w:r>
        <w:t xml:space="preserve">.</w:t>
      </w:r>
    </w:p>
    <w:p>
      <w:pPr>
        <w:pStyle w:val="Normal(Web)"/>
        <w:divId w:val="310"/>
        <w:rPr>
          <w:vanish w:val="0"/>
        </w:rPr>
      </w:pPr>
      <w:r>
        <w:t xml:space="preserve">b) Hệ thống phanh đỗ: Tổng lực phanh của hệ thống phanh đỗ xe không nhỏ hơn 16 % khối lượng của Xe ở trạng thái không tải (có 01 lái xe).</w:t>
      </w:r>
    </w:p>
    <w:p>
      <w:pPr>
        <w:pStyle w:val="Normal(Web)"/>
        <w:divId w:val="311"/>
        <w:rPr>
          <w:vanish w:val="0"/>
        </w:rPr>
      </w:pPr>
      <w:r>
        <w:rPr>
          <w:b/>
        </w:rPr>
        <w:t xml:space="preserve">13. Hệ thống chiếu sáng và tín hiệu</w:t>
      </w:r>
    </w:p>
    <w:p>
      <w:pPr>
        <w:pStyle w:val="Normal(Web)"/>
        <w:divId w:val="312"/>
        <w:rPr>
          <w:vanish w:val="0"/>
        </w:rPr>
      </w:pPr>
      <w:r>
        <w:t xml:space="preserve">13.1. Xe phải trang bị các loại đèn chiếu sáng và tín hiệu sau đây: đèn chiếu sáng phía trước, đèn báo rẽ, đèn vị trí, đèn phanh, đèn lùi, đèn soi biển số sau.</w:t>
      </w:r>
    </w:p>
    <w:p>
      <w:pPr>
        <w:pStyle w:val="Normal(Web)"/>
        <w:divId w:val="313"/>
        <w:rPr>
          <w:vanish w:val="0"/>
        </w:rPr>
      </w:pPr>
      <w:r>
        <w:t xml:space="preserve">13.2. Các đèn chiếu sáng và đèn tín hiệu phải được lắp đặt chắc chắn, bảo đảm duy trì các tính năng hoạt động khi Xe vận hành.</w:t>
      </w:r>
    </w:p>
    <w:p>
      <w:pPr>
        <w:pStyle w:val="Normal(Web)"/>
        <w:divId w:val="314"/>
        <w:rPr>
          <w:vanish w:val="0"/>
        </w:rPr>
      </w:pPr>
      <w:r>
        <w:t xml:space="preserve">13.3. Các đèn sau đây phải được lắp thành cặp: đèn chiếu sáng phía trước, đèn báo rẽ, đèn vị trí, đèn phanh (có ít nhất 02 đèn phanh được lắp thành cặp). Các đèn tạo thành cặp phải thỏa mãn các yêu cầu sau:</w:t>
      </w:r>
    </w:p>
    <w:p>
      <w:pPr>
        <w:pStyle w:val="Normal(Web)"/>
        <w:divId w:val="315"/>
        <w:rPr>
          <w:vanish w:val="0"/>
        </w:rPr>
      </w:pPr>
      <w:r>
        <w:t xml:space="preserve">13.3.1. Được lắp vào Xe đối xứng qua mặt phẳng trung tuyến dọc Xe;</w:t>
      </w:r>
    </w:p>
    <w:p>
      <w:pPr>
        <w:pStyle w:val="Normal(Web)"/>
        <w:divId w:val="316"/>
        <w:rPr>
          <w:vanish w:val="0"/>
        </w:rPr>
      </w:pPr>
      <w:r>
        <w:t xml:space="preserve">13.3.2. Cùng màu;</w:t>
      </w:r>
    </w:p>
    <w:p>
      <w:pPr>
        <w:pStyle w:val="Normal(Web)"/>
        <w:divId w:val="317"/>
        <w:rPr>
          <w:vanish w:val="0"/>
        </w:rPr>
      </w:pPr>
      <w:r>
        <w:t xml:space="preserve">13.3.3. Có cùng tính năng hoạt động.</w:t>
      </w:r>
    </w:p>
    <w:p>
      <w:pPr>
        <w:pStyle w:val="Normal(Web)"/>
        <w:divId w:val="318"/>
        <w:rPr>
          <w:vanish w:val="0"/>
        </w:rPr>
      </w:pPr>
      <w:r>
        <w:t xml:space="preserve">13.4. Vị trí lắp đặt các loại đèn được quy định trong Bảng 2.</w:t>
      </w:r>
    </w:p>
    <w:p>
      <w:pPr>
        <w:pStyle w:val="Normal(Web)"/>
        <w:divId w:val="319"/>
        <w:rPr>
          <w:vanish w:val="0"/>
        </w:rPr>
      </w:pPr>
      <w:r>
        <w:t xml:space="preserve">13.5. Đèn phải </w:t>
      </w:r>
      <w:r>
        <w:t xml:space="preserve">phù hợp</w:t>
      </w:r>
      <w:r>
        <w:t xml:space="preserve"> với yêu cầu quy định trong Bảng 3.</w:t>
      </w:r>
    </w:p>
    <w:p>
      <w:pPr>
        <w:pStyle w:val="Normal(Web)"/>
        <w:divId w:val="320"/>
        <w:jc w:val="center"/>
        <w:rPr>
          <w:vanish w:val="0"/>
        </w:rPr>
      </w:pPr>
      <w:r>
        <w:rPr>
          <w:b/>
        </w:rPr>
        <w:t xml:space="preserve">Bảng 2 - Vị trí lắp đặt các loại đèn (Đơn vị kích thước: mm)</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jc w:val="left"/>
        </w:trPr>
        <w:tc>
          <w:tcPr>
            <w:tcW w:w="0" w:type="auto"/>
            <w:vMerge w:val="restart"/>
            <w:shd w:val="clear" w:color="auto" w:fill="auto"/>
            <w:vAlign w:val="center"/>
          </w:tcPr>
          <w:p>
            <w:pPr>
              <w:pStyle w:val="Normal(Web)"/>
              <w:divId w:val="321"/>
              <w:jc w:val="center"/>
              <w:rPr>
                <w:vanish w:val="0"/>
              </w:rPr>
            </w:pPr>
            <w:r>
              <w:t xml:space="preserve">TT</w:t>
            </w:r>
          </w:p>
        </w:tc>
        <w:tc>
          <w:tcPr>
            <w:tcW w:w="0" w:type="auto"/>
            <w:vMerge w:val="restart"/>
            <w:shd w:val="clear" w:color="auto" w:fill="auto"/>
            <w:vAlign w:val="center"/>
          </w:tcPr>
          <w:p>
            <w:pPr>
              <w:pStyle w:val="Normal(Web)"/>
              <w:divId w:val="322"/>
              <w:jc w:val="center"/>
              <w:rPr>
                <w:vanish w:val="0"/>
              </w:rPr>
            </w:pPr>
            <w:r>
              <w:t xml:space="preserve">Tên đèn</w:t>
            </w:r>
          </w:p>
        </w:tc>
        <w:tc>
          <w:tcPr>
            <w:tcW w:w="0" w:type="auto"/>
            <w:gridSpan w:val="2"/>
            <w:hMerge w:val="restart"/>
            <w:shd w:val="clear" w:color="auto" w:fill="auto"/>
            <w:vAlign w:val="center"/>
          </w:tcPr>
          <w:p>
            <w:pPr>
              <w:pStyle w:val="Normal(Web)"/>
              <w:divId w:val="323"/>
              <w:jc w:val="center"/>
              <w:rPr>
                <w:vanish w:val="0"/>
              </w:rPr>
            </w:pPr>
            <w:r>
              <w:t xml:space="preserve">Chiều cao tính từ mặt đỗ Xe</w:t>
            </w:r>
          </w:p>
        </w:tc>
        <w:tc>
          <w:tcPr>
            <w:tcW w:w="0" w:type="auto"/>
            <w:gridSpan w:val="2"/>
            <w:hMerge/>
            <w:shd w:val="clear" w:color="auto" w:fill="auto"/>
            <w:vAlign w:val="center"/>
          </w:tcPr>
          <w:p>
            <w:pPr/>
          </w:p>
        </w:tc>
        <w:tc>
          <w:tcPr>
            <w:tcW w:w="0" w:type="auto"/>
            <w:gridSpan w:val="2"/>
            <w:vMerge w:val="restart"/>
            <w:shd w:val="clear" w:color="auto" w:fill="auto"/>
            <w:vAlign w:val="center"/>
          </w:tcPr>
          <w:p>
            <w:pPr>
              <w:pStyle w:val="Normal(Web)"/>
              <w:divId w:val="324"/>
              <w:jc w:val="center"/>
              <w:rPr>
                <w:vanish w:val="0"/>
              </w:rPr>
            </w:pPr>
            <w:r>
              <w:t xml:space="preserve">Khoảng cách từ mép ngoài của đèn đến mép ngoài của Xe</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divId w:val="325"/>
              <w:jc w:val="center"/>
              <w:rPr>
                <w:vanish w:val="0"/>
              </w:rPr>
            </w:pPr>
            <w:r>
              <w:t xml:space="preserve">tới mép dưới của đèn</w:t>
            </w:r>
          </w:p>
        </w:tc>
        <w:tc>
          <w:tcPr>
            <w:tcW w:w="0" w:type="auto"/>
            <w:gridSpan w:val="2"/>
            <w:shd w:val="clear" w:color="auto" w:fill="auto"/>
            <w:vAlign w:val="center"/>
          </w:tcPr>
          <w:p>
            <w:pPr>
              <w:pStyle w:val="Normal(Web)"/>
              <w:divId w:val="326"/>
              <w:jc w:val="center"/>
              <w:rPr>
                <w:vanish w:val="0"/>
              </w:rPr>
            </w:pPr>
            <w:r>
              <w:t xml:space="preserve">tới mép trên của đèn</w:t>
            </w:r>
          </w:p>
        </w:tc>
        <w:tc>
          <w:tcPr>
            <w:tcW w:w="0" w:type="auto"/>
            <w:gridSpan w:val="2"/>
            <w:vMerge/>
            <w:shd w:val="clear" w:color="auto" w:fill="auto"/>
            <w:vAlign w:val="center"/>
          </w:tcPr>
          <w:p>
            <w:pPr/>
          </w:p>
        </w:tc>
      </w:tr>
      <w:tr>
        <w:trPr>
          <w:jc w:val="left"/>
        </w:trPr>
        <w:tc>
          <w:tcPr>
            <w:tcW w:w="0" w:type="auto"/>
            <w:shd w:val="clear" w:color="auto" w:fill="auto"/>
            <w:vAlign w:val="center"/>
          </w:tcPr>
          <w:p>
            <w:pPr>
              <w:pStyle w:val="Normal(Web)"/>
              <w:divId w:val="327"/>
              <w:jc w:val="center"/>
              <w:rPr>
                <w:vanish w:val="0"/>
              </w:rPr>
            </w:pPr>
            <w:r>
              <w:t xml:space="preserve">(1)</w:t>
            </w:r>
          </w:p>
        </w:tc>
        <w:tc>
          <w:tcPr>
            <w:tcW w:w="0" w:type="auto"/>
            <w:shd w:val="clear" w:color="auto" w:fill="auto"/>
            <w:vAlign w:val="center"/>
          </w:tcPr>
          <w:p>
            <w:pPr>
              <w:pStyle w:val="Normal(Web)"/>
              <w:divId w:val="328"/>
              <w:jc w:val="center"/>
              <w:rPr>
                <w:vanish w:val="0"/>
              </w:rPr>
            </w:pPr>
            <w:r>
              <w:t xml:space="preserve">(2)</w:t>
            </w:r>
          </w:p>
        </w:tc>
        <w:tc>
          <w:tcPr>
            <w:tcW w:w="0" w:type="auto"/>
            <w:gridSpan w:val="2"/>
            <w:shd w:val="clear" w:color="auto" w:fill="auto"/>
            <w:vAlign w:val="center"/>
          </w:tcPr>
          <w:p>
            <w:pPr>
              <w:pStyle w:val="Normal(Web)"/>
              <w:divId w:val="329"/>
              <w:jc w:val="center"/>
              <w:rPr>
                <w:vanish w:val="0"/>
              </w:rPr>
            </w:pPr>
            <w:r>
              <w:t xml:space="preserve">(3)</w:t>
            </w:r>
          </w:p>
        </w:tc>
        <w:tc>
          <w:tcPr>
            <w:tcW w:w="0" w:type="auto"/>
            <w:gridSpan w:val="2"/>
            <w:shd w:val="clear" w:color="auto" w:fill="auto"/>
            <w:vAlign w:val="center"/>
          </w:tcPr>
          <w:p>
            <w:pPr>
              <w:pStyle w:val="Normal(Web)"/>
              <w:divId w:val="330"/>
              <w:jc w:val="center"/>
              <w:rPr>
                <w:vanish w:val="0"/>
              </w:rPr>
            </w:pPr>
            <w:r>
              <w:t xml:space="preserve">(4)</w:t>
            </w:r>
          </w:p>
        </w:tc>
        <w:tc>
          <w:tcPr>
            <w:tcW w:w="0" w:type="auto"/>
            <w:gridSpan w:val="2"/>
            <w:shd w:val="clear" w:color="auto" w:fill="auto"/>
            <w:vAlign w:val="center"/>
          </w:tcPr>
          <w:p>
            <w:pPr>
              <w:pStyle w:val="Normal(Web)"/>
              <w:divId w:val="331"/>
              <w:jc w:val="center"/>
              <w:rPr>
                <w:vanish w:val="0"/>
              </w:rPr>
            </w:pPr>
            <w:r>
              <w:t xml:space="preserve">(6)</w:t>
            </w:r>
          </w:p>
        </w:tc>
      </w:tr>
      <w:tr>
        <w:trPr>
          <w:jc w:val="left"/>
        </w:trPr>
        <w:tc>
          <w:tcPr>
            <w:tcW w:w="0" w:type="auto"/>
            <w:shd w:val="clear" w:color="auto" w:fill="auto"/>
            <w:vAlign w:val="center"/>
          </w:tcPr>
          <w:p>
            <w:pPr>
              <w:pStyle w:val="Normal(Web)"/>
              <w:divId w:val="332"/>
              <w:jc w:val="center"/>
              <w:rPr>
                <w:vanish w:val="0"/>
              </w:rPr>
            </w:pPr>
            <w:r>
              <w:t xml:space="preserve">1</w:t>
            </w:r>
          </w:p>
        </w:tc>
        <w:tc>
          <w:tcPr>
            <w:tcW w:w="0" w:type="auto"/>
            <w:shd w:val="clear" w:color="auto" w:fill="auto"/>
            <w:vAlign w:val="center"/>
          </w:tcPr>
          <w:p>
            <w:pPr>
              <w:pStyle w:val="Normal(Web)"/>
              <w:divId w:val="333"/>
              <w:rPr>
                <w:vanish w:val="0"/>
              </w:rPr>
            </w:pPr>
            <w:r>
              <w:t xml:space="preserve">Đèn chiếu gần</w:t>
            </w:r>
          </w:p>
        </w:tc>
        <w:tc>
          <w:tcPr>
            <w:tcW w:w="0" w:type="auto"/>
            <w:gridSpan w:val="2"/>
            <w:shd w:val="clear" w:color="auto" w:fill="auto"/>
            <w:vAlign w:val="center"/>
          </w:tcPr>
          <w:p>
            <w:pPr>
              <w:pStyle w:val="Normal(Web)"/>
              <w:divId w:val="334"/>
              <w:jc w:val="center"/>
              <w:rPr>
                <w:vanish w:val="0"/>
              </w:rPr>
            </w:pPr>
            <w:r>
              <w:t xml:space="preserve">≥500</w:t>
            </w:r>
          </w:p>
        </w:tc>
        <w:tc>
          <w:tcPr>
            <w:tcW w:w="0" w:type="auto"/>
            <w:gridSpan w:val="2"/>
            <w:shd w:val="clear" w:color="auto" w:fill="auto"/>
            <w:vAlign w:val="center"/>
          </w:tcPr>
          <w:p>
            <w:pPr>
              <w:pStyle w:val="Normal(Web)"/>
              <w:divId w:val="335"/>
              <w:jc w:val="center"/>
              <w:rPr>
                <w:vanish w:val="0"/>
              </w:rPr>
            </w:pPr>
            <w:r>
              <w:t xml:space="preserve">≤ 1200</w:t>
            </w:r>
          </w:p>
        </w:tc>
        <w:tc>
          <w:tcPr>
            <w:tcW w:w="0" w:type="auto"/>
            <w:gridSpan w:val="2"/>
            <w:shd w:val="clear" w:color="auto" w:fill="auto"/>
            <w:vAlign w:val="center"/>
          </w:tcPr>
          <w:p>
            <w:pPr>
              <w:pStyle w:val="Normal(Web)"/>
              <w:divId w:val="336"/>
              <w:jc w:val="center"/>
              <w:rPr>
                <w:vanish w:val="0"/>
              </w:rPr>
            </w:pPr>
            <w:r>
              <w:t xml:space="preserve">≤200</w:t>
            </w:r>
          </w:p>
        </w:tc>
      </w:tr>
      <w:tr>
        <w:trPr>
          <w:jc w:val="left"/>
        </w:trPr>
        <w:tc>
          <w:tcPr>
            <w:tcW w:w="0" w:type="auto"/>
            <w:shd w:val="clear" w:color="auto" w:fill="auto"/>
            <w:vAlign w:val="center"/>
          </w:tcPr>
          <w:p>
            <w:pPr>
              <w:pStyle w:val="Normal(Web)"/>
              <w:divId w:val="337"/>
              <w:jc w:val="center"/>
              <w:rPr>
                <w:vanish w:val="0"/>
              </w:rPr>
            </w:pPr>
            <w:r>
              <w:t xml:space="preserve">2</w:t>
            </w:r>
          </w:p>
        </w:tc>
        <w:tc>
          <w:tcPr>
            <w:tcW w:w="0" w:type="auto"/>
            <w:shd w:val="clear" w:color="auto" w:fill="auto"/>
            <w:vAlign w:val="center"/>
          </w:tcPr>
          <w:p>
            <w:pPr>
              <w:pStyle w:val="Normal(Web)"/>
              <w:divId w:val="338"/>
              <w:rPr>
                <w:vanish w:val="0"/>
              </w:rPr>
            </w:pPr>
            <w:r>
              <w:t xml:space="preserve">Đèn báo rẽ</w:t>
            </w:r>
          </w:p>
        </w:tc>
        <w:tc>
          <w:tcPr>
            <w:tcW w:w="0" w:type="auto"/>
            <w:gridSpan w:val="2"/>
            <w:shd w:val="clear" w:color="auto" w:fill="auto"/>
            <w:vAlign w:val="center"/>
          </w:tcPr>
          <w:p>
            <w:pPr>
              <w:pStyle w:val="Normal(Web)"/>
              <w:divId w:val="339"/>
              <w:jc w:val="center"/>
              <w:rPr>
                <w:vanish w:val="0"/>
              </w:rPr>
            </w:pPr>
            <w:r>
              <w:t xml:space="preserve">≥350</w:t>
            </w:r>
          </w:p>
        </w:tc>
        <w:tc>
          <w:tcPr>
            <w:tcW w:w="0" w:type="auto"/>
            <w:gridSpan w:val="2"/>
            <w:shd w:val="clear" w:color="auto" w:fill="auto"/>
            <w:vAlign w:val="center"/>
          </w:tcPr>
          <w:p>
            <w:pPr>
              <w:pStyle w:val="Normal(Web)"/>
              <w:divId w:val="340"/>
              <w:jc w:val="center"/>
              <w:rPr>
                <w:vanish w:val="0"/>
              </w:rPr>
            </w:pPr>
            <w:r>
              <w:t xml:space="preserve">≤ 1500</w:t>
            </w:r>
          </w:p>
        </w:tc>
        <w:tc>
          <w:tcPr>
            <w:tcW w:w="0" w:type="auto"/>
            <w:gridSpan w:val="2"/>
            <w:shd w:val="clear" w:color="auto" w:fill="auto"/>
            <w:vAlign w:val="center"/>
          </w:tcPr>
          <w:p>
            <w:pPr>
              <w:pStyle w:val="Normal(Web)"/>
              <w:divId w:val="341"/>
              <w:jc w:val="center"/>
              <w:rPr>
                <w:vanish w:val="0"/>
              </w:rPr>
            </w:pPr>
            <w:r>
              <w:t xml:space="preserve">≤200</w:t>
            </w:r>
          </w:p>
        </w:tc>
      </w:tr>
      <w:tr>
        <w:trPr>
          <w:jc w:val="left"/>
        </w:trPr>
        <w:tc>
          <w:tcPr>
            <w:tcW w:w="0" w:type="auto"/>
            <w:shd w:val="clear" w:color="auto" w:fill="auto"/>
            <w:vAlign w:val="center"/>
          </w:tcPr>
          <w:p>
            <w:pPr>
              <w:pStyle w:val="Normal(Web)"/>
              <w:divId w:val="342"/>
              <w:jc w:val="center"/>
              <w:rPr>
                <w:vanish w:val="0"/>
              </w:rPr>
            </w:pPr>
            <w:r>
              <w:t xml:space="preserve">3</w:t>
            </w:r>
          </w:p>
        </w:tc>
        <w:tc>
          <w:tcPr>
            <w:tcW w:w="0" w:type="auto"/>
            <w:shd w:val="clear" w:color="auto" w:fill="auto"/>
            <w:vAlign w:val="center"/>
          </w:tcPr>
          <w:p>
            <w:pPr>
              <w:pStyle w:val="Normal(Web)"/>
              <w:divId w:val="343"/>
              <w:rPr>
                <w:vanish w:val="0"/>
              </w:rPr>
            </w:pPr>
            <w:r>
              <w:t xml:space="preserve">Đèn vị trí</w:t>
            </w:r>
          </w:p>
        </w:tc>
        <w:tc>
          <w:tcPr>
            <w:tcW w:w="0" w:type="auto"/>
            <w:gridSpan w:val="2"/>
            <w:shd w:val="clear" w:color="auto" w:fill="auto"/>
            <w:vAlign w:val="center"/>
          </w:tcPr>
          <w:p>
            <w:pPr>
              <w:pStyle w:val="Normal(Web)"/>
              <w:divId w:val="344"/>
              <w:jc w:val="center"/>
              <w:rPr>
                <w:vanish w:val="0"/>
              </w:rPr>
            </w:pPr>
            <w:r>
              <w:t xml:space="preserve">≥350</w:t>
            </w:r>
          </w:p>
        </w:tc>
        <w:tc>
          <w:tcPr>
            <w:tcW w:w="0" w:type="auto"/>
            <w:gridSpan w:val="2"/>
            <w:shd w:val="clear" w:color="auto" w:fill="auto"/>
            <w:vAlign w:val="center"/>
          </w:tcPr>
          <w:p>
            <w:pPr>
              <w:pStyle w:val="Normal(Web)"/>
              <w:divId w:val="345"/>
              <w:jc w:val="center"/>
              <w:rPr>
                <w:vanish w:val="0"/>
              </w:rPr>
            </w:pPr>
            <w:r>
              <w:t xml:space="preserve">≤ 1500</w:t>
            </w:r>
          </w:p>
        </w:tc>
        <w:tc>
          <w:tcPr>
            <w:tcW w:w="0" w:type="auto"/>
            <w:gridSpan w:val="2"/>
            <w:shd w:val="clear" w:color="auto" w:fill="auto"/>
            <w:vAlign w:val="center"/>
          </w:tcPr>
          <w:p>
            <w:pPr>
              <w:pStyle w:val="Normal(Web)"/>
              <w:divId w:val="346"/>
              <w:jc w:val="center"/>
              <w:rPr>
                <w:vanish w:val="0"/>
              </w:rPr>
            </w:pPr>
            <w:r>
              <w:t xml:space="preserve">≤200</w:t>
            </w:r>
          </w:p>
        </w:tc>
      </w:tr>
      <w:tr>
        <w:trPr>
          <w:jc w:val="left"/>
        </w:trPr>
        <w:tc>
          <w:tcPr>
            <w:tcW w:w="0" w:type="auto"/>
            <w:shd w:val="clear" w:color="auto" w:fill="auto"/>
            <w:vAlign w:val="center"/>
          </w:tcPr>
          <w:p>
            <w:pPr>
              <w:pStyle w:val="Normal(Web)"/>
              <w:divId w:val="347"/>
              <w:jc w:val="center"/>
              <w:rPr>
                <w:vanish w:val="0"/>
              </w:rPr>
            </w:pPr>
            <w:r>
              <w:t xml:space="preserve">4</w:t>
            </w:r>
          </w:p>
        </w:tc>
        <w:tc>
          <w:tcPr>
            <w:tcW w:w="0" w:type="auto"/>
            <w:shd w:val="clear" w:color="auto" w:fill="auto"/>
            <w:vAlign w:val="center"/>
          </w:tcPr>
          <w:p>
            <w:pPr>
              <w:pStyle w:val="Normal(Web)"/>
              <w:divId w:val="348"/>
              <w:rPr>
                <w:vanish w:val="0"/>
              </w:rPr>
            </w:pPr>
            <w:r>
              <w:t xml:space="preserve">Đèn phanh</w:t>
            </w:r>
          </w:p>
        </w:tc>
        <w:tc>
          <w:tcPr>
            <w:tcW w:w="0" w:type="auto"/>
            <w:gridSpan w:val="2"/>
            <w:shd w:val="clear" w:color="auto" w:fill="auto"/>
            <w:vAlign w:val="center"/>
          </w:tcPr>
          <w:p>
            <w:pPr>
              <w:pStyle w:val="Normal(Web)"/>
              <w:divId w:val="349"/>
              <w:jc w:val="center"/>
              <w:rPr>
                <w:vanish w:val="0"/>
              </w:rPr>
            </w:pPr>
            <w:r>
              <w:t xml:space="preserve">≥350</w:t>
            </w:r>
          </w:p>
        </w:tc>
        <w:tc>
          <w:tcPr>
            <w:tcW w:w="0" w:type="auto"/>
            <w:gridSpan w:val="2"/>
            <w:shd w:val="clear" w:color="auto" w:fill="auto"/>
            <w:vAlign w:val="center"/>
          </w:tcPr>
          <w:p>
            <w:pPr>
              <w:pStyle w:val="Normal(Web)"/>
              <w:divId w:val="350"/>
              <w:jc w:val="center"/>
              <w:rPr>
                <w:vanish w:val="0"/>
              </w:rPr>
            </w:pPr>
            <w:r>
              <w:t xml:space="preserve">≤ 1500</w:t>
            </w:r>
          </w:p>
        </w:tc>
        <w:tc>
          <w:tcPr>
            <w:tcW w:w="0" w:type="auto"/>
            <w:gridSpan w:val="2"/>
            <w:shd w:val="clear" w:color="auto" w:fill="auto"/>
            <w:vAlign w:val="center"/>
          </w:tcPr>
          <w:p>
            <w:pPr>
              <w:pStyle w:val="Normal(Web)"/>
              <w:divId w:val="351"/>
              <w:jc w:val="center"/>
              <w:rPr>
                <w:vanish w:val="0"/>
              </w:rPr>
            </w:pPr>
            <w:r>
              <w:t xml:space="preserve">-</w:t>
            </w:r>
          </w:p>
        </w:tc>
      </w:tr>
      <w:tr>
        <w:trPr>
          <w:jc w:val="left"/>
        </w:trPr>
        <w:tc>
          <w:tcPr>
            <w:tcW w:w="0" w:type="auto"/>
            <w:shd w:val="clear" w:color="auto" w:fill="auto"/>
            <w:vAlign w:val="center"/>
          </w:tcPr>
          <w:p>
            <w:pPr>
              <w:pStyle w:val="Normal(Web)"/>
              <w:divId w:val="352"/>
              <w:jc w:val="center"/>
              <w:rPr>
                <w:vanish w:val="0"/>
              </w:rPr>
            </w:pPr>
            <w:r>
              <w:t xml:space="preserve">5</w:t>
            </w:r>
          </w:p>
        </w:tc>
        <w:tc>
          <w:tcPr>
            <w:tcW w:w="0" w:type="auto"/>
            <w:shd w:val="clear" w:color="auto" w:fill="auto"/>
            <w:vAlign w:val="center"/>
          </w:tcPr>
          <w:p>
            <w:pPr>
              <w:pStyle w:val="Normal(Web)"/>
              <w:divId w:val="353"/>
              <w:rPr>
                <w:vanish w:val="0"/>
              </w:rPr>
            </w:pPr>
            <w:r>
              <w:t xml:space="preserve">Đèn lùi</w:t>
            </w:r>
          </w:p>
        </w:tc>
        <w:tc>
          <w:tcPr>
            <w:tcW w:w="0" w:type="auto"/>
            <w:gridSpan w:val="2"/>
            <w:shd w:val="clear" w:color="auto" w:fill="auto"/>
            <w:vAlign w:val="center"/>
          </w:tcPr>
          <w:p>
            <w:pPr>
              <w:pStyle w:val="Normal(Web)"/>
              <w:divId w:val="354"/>
              <w:jc w:val="center"/>
              <w:rPr>
                <w:vanish w:val="0"/>
              </w:rPr>
            </w:pPr>
            <w:r>
              <w:t xml:space="preserve">≥250</w:t>
            </w:r>
          </w:p>
        </w:tc>
        <w:tc>
          <w:tcPr>
            <w:tcW w:w="0" w:type="auto"/>
            <w:gridSpan w:val="2"/>
            <w:shd w:val="clear" w:color="auto" w:fill="auto"/>
            <w:vAlign w:val="center"/>
          </w:tcPr>
          <w:p>
            <w:pPr>
              <w:pStyle w:val="Normal(Web)"/>
              <w:divId w:val="355"/>
              <w:jc w:val="center"/>
              <w:rPr>
                <w:vanish w:val="0"/>
              </w:rPr>
            </w:pPr>
            <w:r>
              <w:t xml:space="preserve">≤ 1200</w:t>
            </w:r>
          </w:p>
        </w:tc>
        <w:tc>
          <w:tcPr>
            <w:tcW w:w="0" w:type="auto"/>
            <w:gridSpan w:val="2"/>
            <w:shd w:val="clear" w:color="auto" w:fill="auto"/>
            <w:vAlign w:val="center"/>
          </w:tcPr>
          <w:p>
            <w:pPr>
              <w:pStyle w:val="Normal(Web)"/>
              <w:divId w:val="356"/>
              <w:jc w:val="center"/>
              <w:rPr>
                <w:vanish w:val="0"/>
              </w:rPr>
            </w:pPr>
            <w:r>
              <w:t xml:space="preserve">-</w:t>
            </w:r>
          </w:p>
        </w:tc>
      </w:tr>
    </w:tbl>
    <w:p>
      <w:pPr>
        <w:pStyle w:val="Normal(Web)"/>
        <w:divId w:val="357"/>
        <w:rPr>
          <w:vanish w:val="0"/>
        </w:rPr>
      </w:pPr>
      <w:r>
        <w:t xml:space="preserve">13.6. Các yêu cầu khác</w:t>
      </w:r>
    </w:p>
    <w:p>
      <w:pPr>
        <w:pStyle w:val="Normal(Web)"/>
        <w:divId w:val="358"/>
        <w:rPr>
          <w:vanish w:val="0"/>
        </w:rPr>
      </w:pPr>
      <w:r>
        <w:t xml:space="preserve">13.6.1. Không được lắp đèn màu đỏ và các tấm phản quang ở phía trước Xe. Không được lắp đèn có ánh sáng trắng hướng về phía sau (ngoại trừ đèn lùi).</w:t>
      </w:r>
    </w:p>
    <w:p>
      <w:pPr>
        <w:pStyle w:val="Normal(Web)"/>
        <w:divId w:val="359"/>
        <w:rPr>
          <w:vanish w:val="0"/>
        </w:rPr>
      </w:pPr>
      <w:r>
        <w:t xml:space="preserve">13.6.2. Đối với đèn chiếu sáng phía trước:</w:t>
      </w:r>
    </w:p>
    <w:p>
      <w:pPr>
        <w:pStyle w:val="Normal(Web)"/>
        <w:divId w:val="360"/>
        <w:rPr>
          <w:vanish w:val="0"/>
        </w:rPr>
      </w:pPr>
      <w:r>
        <w:t xml:space="preserve">- Khi bật công tắc đèn chiếu gần thì các đèn chiếu xa (nếu có) phải tắt;</w:t>
      </w:r>
    </w:p>
    <w:p>
      <w:pPr>
        <w:pStyle w:val="Normal(Web)"/>
        <w:divId w:val="361"/>
        <w:rPr>
          <w:vanish w:val="0"/>
        </w:rPr>
      </w:pPr>
      <w:r>
        <w:t xml:space="preserve">- Phải có báo hiệu làm việc khi sử dụng đèn chiếu xa.</w:t>
      </w:r>
    </w:p>
    <w:p>
      <w:pPr>
        <w:pStyle w:val="Normal(Web)"/>
        <w:divId w:val="362"/>
        <w:rPr>
          <w:vanish w:val="0"/>
        </w:rPr>
      </w:pPr>
      <w:r>
        <w:t xml:space="preserve">13.6.3. Đèn lùi phải bật sáng khi cần số của Xe đang ở vị trí số lùi và công tắc điện tổng đang ở vị trí mà động cơ có thể hoạt động được. Đèn lùi phải tắt khi một trong hai điều kiện trên không thỏa mãn.</w:t>
      </w:r>
    </w:p>
    <w:p>
      <w:pPr>
        <w:pStyle w:val="Normal(Web)"/>
        <w:divId w:val="363"/>
        <w:rPr>
          <w:vanish w:val="0"/>
        </w:rPr>
      </w:pPr>
      <w:r>
        <w:t xml:space="preserve">13.6.4. Đèn soi biển số phải sáng khi bật đèn chiếu sáng phía trước, không thể tắt và bật được bằng công tắc riêng.</w:t>
      </w:r>
    </w:p>
    <w:p>
      <w:pPr>
        <w:pStyle w:val="Normal(Web)"/>
        <w:divId w:val="364"/>
        <w:rPr>
          <w:vanish w:val="0"/>
        </w:rPr>
      </w:pPr>
      <w:r>
        <w:t xml:space="preserve">13.6.5. Đối với</w:t>
      </w:r>
      <w:r>
        <w:t xml:space="preserve"> đèn phanh:</w:t>
      </w:r>
    </w:p>
    <w:p>
      <w:pPr>
        <w:pStyle w:val="Normal(Web)"/>
        <w:divId w:val="365"/>
        <w:rPr>
          <w:vanish w:val="0"/>
        </w:rPr>
      </w:pPr>
      <w:r>
        <w:t xml:space="preserve">- Đèn phanh phải bật sáng khi người lái tác động vào hệ thống phanh chính;</w:t>
      </w:r>
    </w:p>
    <w:p>
      <w:pPr>
        <w:pStyle w:val="Normal(Web)"/>
        <w:divId w:val="366"/>
        <w:rPr>
          <w:vanish w:val="0"/>
        </w:rPr>
      </w:pPr>
      <w:r>
        <w:t xml:space="preserve">- Trong trường hợp dùng kết hợp với đèn hậu, đèn phanh phải có cường độ sáng rõ hơn so </w:t>
      </w:r>
      <w:r>
        <w:t xml:space="preserve">với</w:t>
      </w:r>
      <w:r>
        <w:t xml:space="preserve"> đèn hậu.</w:t>
      </w:r>
    </w:p>
    <w:p>
      <w:pPr>
        <w:pStyle w:val="Normal(Web)"/>
        <w:divId w:val="367"/>
        <w:rPr>
          <w:vanish w:val="0"/>
        </w:rPr>
      </w:pPr>
      <w:r>
        <w:t xml:space="preserve">13.6.6. Đối với đèn báo rẽ:</w:t>
      </w:r>
    </w:p>
    <w:p>
      <w:pPr>
        <w:pStyle w:val="Normal(Web)"/>
        <w:divId w:val="368"/>
        <w:rPr>
          <w:vanish w:val="0"/>
        </w:rPr>
      </w:pPr>
      <w:r>
        <w:t xml:space="preserve">- Tất cả các đèn báo rẽ ở cùng một bên của Xe phải nhấp nháy cùng pha khi hoạt động. Tần số nhấp nháy từ 60 ¸ 120 lần/phút;</w:t>
      </w:r>
    </w:p>
    <w:p>
      <w:pPr>
        <w:pStyle w:val="Normal(Web)"/>
        <w:divId w:val="369"/>
        <w:rPr>
          <w:vanish w:val="0"/>
        </w:rPr>
      </w:pPr>
      <w:r>
        <w:t xml:space="preserve">- Thời gian từ khi bật công tắc đến khi đèn phát tín hiệu báo rẽ không quá 1,5 giây.</w:t>
      </w:r>
    </w:p>
    <w:p>
      <w:pPr>
        <w:pStyle w:val="Normal(Web)"/>
        <w:divId w:val="370"/>
        <w:rPr>
          <w:vanish w:val="0"/>
        </w:rPr>
      </w:pPr>
      <w:r>
        <w:t xml:space="preserve">13.7. Tấm phản quang phía sau</w:t>
      </w:r>
    </w:p>
    <w:p>
      <w:pPr>
        <w:pStyle w:val="Normal(Web)"/>
        <w:divId w:val="371"/>
        <w:rPr>
          <w:vanish w:val="0"/>
        </w:rPr>
      </w:pPr>
      <w:r>
        <w:t xml:space="preserve">13.7.1. Xe phải được trang bị tấm phản quang ở phía sau.</w:t>
      </w:r>
    </w:p>
    <w:p>
      <w:pPr>
        <w:pStyle w:val="Normal(Web)"/>
        <w:divId w:val="372"/>
        <w:rPr>
          <w:vanish w:val="0"/>
        </w:rPr>
      </w:pPr>
      <w:r>
        <w:t xml:space="preserve">13.7.2. Hình dạng mặt phản quang không được là hình tam giác.</w:t>
      </w:r>
    </w:p>
    <w:p>
      <w:pPr>
        <w:pStyle w:val="Normal(Web)"/>
        <w:divId w:val="373"/>
        <w:rPr>
          <w:vanish w:val="0"/>
        </w:rPr>
      </w:pPr>
      <w:r>
        <w:rPr>
          <w:b/>
        </w:rPr>
        <w:t xml:space="preserve">Bảng 3 -Yêu cầu về màu, số l</w:t>
      </w:r>
      <w:r>
        <w:rPr>
          <w:b/>
        </w:rPr>
        <w:t xml:space="preserve">ượ</w:t>
      </w:r>
      <w:r>
        <w:rPr>
          <w:b/>
        </w:rPr>
        <w:t xml:space="preserve">ng và chỉ tiêu kiểm tra bằng quan sát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74"/>
              <w:jc w:val="center"/>
              <w:rPr>
                <w:vanish w:val="0"/>
              </w:rPr>
            </w:pPr>
            <w:r>
              <w:t xml:space="preserve">TT</w:t>
            </w:r>
          </w:p>
        </w:tc>
        <w:tc>
          <w:tcPr>
            <w:tcW w:w="0" w:type="auto"/>
            <w:shd w:val="clear" w:color="auto" w:fill="auto"/>
            <w:vAlign w:val="center"/>
          </w:tcPr>
          <w:p>
            <w:pPr>
              <w:pStyle w:val="Normal(Web)"/>
              <w:divId w:val="375"/>
              <w:jc w:val="center"/>
              <w:rPr>
                <w:vanish w:val="0"/>
              </w:rPr>
            </w:pPr>
            <w:r>
              <w:t xml:space="preserve">Tên đèn</w:t>
            </w:r>
          </w:p>
        </w:tc>
        <w:tc>
          <w:tcPr>
            <w:tcW w:w="0" w:type="auto"/>
            <w:shd w:val="clear" w:color="auto" w:fill="auto"/>
            <w:vAlign w:val="center"/>
          </w:tcPr>
          <w:p>
            <w:pPr>
              <w:pStyle w:val="Normal(Web)"/>
              <w:divId w:val="376"/>
              <w:jc w:val="center"/>
              <w:rPr>
                <w:vanish w:val="0"/>
              </w:rPr>
            </w:pPr>
            <w:r>
              <w:t xml:space="preserve">Màu</w:t>
            </w:r>
          </w:p>
        </w:tc>
        <w:tc>
          <w:tcPr>
            <w:tcW w:w="0" w:type="auto"/>
            <w:shd w:val="clear" w:color="auto" w:fill="auto"/>
            <w:vAlign w:val="center"/>
          </w:tcPr>
          <w:p>
            <w:pPr>
              <w:pStyle w:val="Normal(Web)"/>
              <w:divId w:val="377"/>
              <w:jc w:val="center"/>
              <w:rPr>
                <w:vanish w:val="0"/>
              </w:rPr>
            </w:pPr>
            <w:r>
              <w:t xml:space="preserve">Số lượng tối thiểu</w:t>
            </w:r>
          </w:p>
        </w:tc>
        <w:tc>
          <w:tcPr>
            <w:tcW w:w="0" w:type="auto"/>
            <w:shd w:val="clear" w:color="auto" w:fill="auto"/>
            <w:vAlign w:val="center"/>
          </w:tcPr>
          <w:p>
            <w:pPr>
              <w:pStyle w:val="Normal(Web)"/>
              <w:divId w:val="378"/>
              <w:jc w:val="center"/>
              <w:rPr>
                <w:vanish w:val="0"/>
              </w:rPr>
            </w:pPr>
            <w:r>
              <w:t xml:space="preserve">Chỉ tiêu kiểm tra bằng quan sát</w:t>
            </w:r>
          </w:p>
        </w:tc>
      </w:tr>
      <w:tr>
        <w:trPr>
          <w:jc w:val="left"/>
        </w:trPr>
        <w:tc>
          <w:tcPr>
            <w:tcW w:w="0" w:type="auto"/>
            <w:shd w:val="clear" w:color="auto" w:fill="auto"/>
            <w:vAlign w:val="center"/>
          </w:tcPr>
          <w:p>
            <w:pPr>
              <w:pStyle w:val="Normal(Web)"/>
              <w:divId w:val="379"/>
              <w:jc w:val="center"/>
              <w:rPr>
                <w:vanish w:val="0"/>
              </w:rPr>
            </w:pPr>
            <w:r>
              <w:t xml:space="preserve">1.</w:t>
            </w:r>
          </w:p>
        </w:tc>
        <w:tc>
          <w:tcPr>
            <w:tcW w:w="0" w:type="auto"/>
            <w:shd w:val="clear" w:color="auto" w:fill="auto"/>
            <w:vAlign w:val="center"/>
          </w:tcPr>
          <w:p>
            <w:pPr>
              <w:pStyle w:val="Normal(Web)"/>
              <w:divId w:val="380"/>
              <w:rPr>
                <w:vanish w:val="0"/>
              </w:rPr>
            </w:pPr>
            <w:r>
              <w:t xml:space="preserve">Đèn chiếu sáng phía trước</w:t>
            </w:r>
          </w:p>
        </w:tc>
        <w:tc>
          <w:tcPr>
            <w:tcW w:w="0" w:type="auto"/>
            <w:shd w:val="clear" w:color="auto" w:fill="auto"/>
            <w:vAlign w:val="center"/>
          </w:tcPr>
          <w:p>
            <w:pPr>
              <w:pStyle w:val="Normal(Web)"/>
              <w:divId w:val="381"/>
              <w:rPr>
                <w:vanish w:val="0"/>
              </w:rPr>
            </w:pPr>
            <w:r>
              <w:t xml:space="preserve">Trắng hoặc vàng nhạt</w:t>
            </w:r>
          </w:p>
        </w:tc>
        <w:tc>
          <w:tcPr>
            <w:tcW w:w="0" w:type="auto"/>
            <w:shd w:val="clear" w:color="auto" w:fill="auto"/>
            <w:vAlign w:val="center"/>
          </w:tcPr>
          <w:p>
            <w:pPr>
              <w:pStyle w:val="Normal(Web)"/>
              <w:divId w:val="382"/>
              <w:jc w:val="center"/>
              <w:rPr>
                <w:vanish w:val="0"/>
              </w:rPr>
            </w:pPr>
            <w:r>
              <w:t xml:space="preserve">2</w:t>
            </w:r>
          </w:p>
        </w:tc>
        <w:tc>
          <w:tcPr>
            <w:tcW w:w="0" w:type="auto"/>
            <w:shd w:val="clear" w:color="auto" w:fill="auto"/>
            <w:vAlign w:val="center"/>
          </w:tcPr>
          <w:p>
            <w:pPr>
              <w:pStyle w:val="Normal(Web)"/>
              <w:divId w:val="383"/>
              <w:rPr>
                <w:vanish w:val="0"/>
              </w:rPr>
            </w:pPr>
            <w:r>
              <w:t xml:space="preserve">Chiều dài dải sáng không nhỏ hơn 50 m và phải bảo đảm quan sát được chướng ngại vật ở khoảng cách 40 m.</w:t>
            </w:r>
          </w:p>
        </w:tc>
      </w:tr>
      <w:tr>
        <w:trPr>
          <w:jc w:val="left"/>
        </w:trPr>
        <w:tc>
          <w:tcPr>
            <w:tcW w:w="0" w:type="auto"/>
            <w:shd w:val="clear" w:color="auto" w:fill="auto"/>
            <w:vAlign w:val="center"/>
          </w:tcPr>
          <w:p>
            <w:pPr>
              <w:pStyle w:val="Normal(Web)"/>
              <w:divId w:val="384"/>
              <w:jc w:val="center"/>
              <w:rPr>
                <w:vanish w:val="0"/>
              </w:rPr>
            </w:pPr>
            <w:r>
              <w:t xml:space="preserve">2.</w:t>
            </w:r>
          </w:p>
        </w:tc>
        <w:tc>
          <w:tcPr>
            <w:tcW w:w="0" w:type="auto"/>
            <w:shd w:val="clear" w:color="auto" w:fill="auto"/>
            <w:vAlign w:val="center"/>
          </w:tcPr>
          <w:p>
            <w:pPr>
              <w:pStyle w:val="Normal(Web)"/>
              <w:divId w:val="385"/>
              <w:rPr>
                <w:vanish w:val="0"/>
              </w:rPr>
            </w:pPr>
            <w:r>
              <w:t xml:space="preserve">Đèn báo rẽ trước</w:t>
            </w:r>
          </w:p>
        </w:tc>
        <w:tc>
          <w:tcPr>
            <w:tcW w:w="0" w:type="auto"/>
            <w:shd w:val="clear" w:color="auto" w:fill="auto"/>
            <w:vAlign w:val="center"/>
          </w:tcPr>
          <w:p>
            <w:pPr>
              <w:pStyle w:val="Normal(Web)"/>
              <w:divId w:val="386"/>
              <w:rPr>
                <w:vanish w:val="0"/>
              </w:rPr>
            </w:pPr>
            <w:r>
              <w:t xml:space="preserve">Vàng</w:t>
            </w:r>
          </w:p>
        </w:tc>
        <w:tc>
          <w:tcPr>
            <w:tcW w:w="0" w:type="auto"/>
            <w:shd w:val="clear" w:color="auto" w:fill="auto"/>
            <w:vAlign w:val="center"/>
          </w:tcPr>
          <w:p>
            <w:pPr>
              <w:pStyle w:val="Normal(Web)"/>
              <w:divId w:val="387"/>
              <w:jc w:val="center"/>
              <w:rPr>
                <w:vanish w:val="0"/>
              </w:rPr>
            </w:pPr>
            <w:r>
              <w:t xml:space="preserve">2</w:t>
            </w:r>
          </w:p>
        </w:tc>
        <w:tc>
          <w:tcPr>
            <w:tcW w:w="0" w:type="auto"/>
            <w:vMerge w:val="restart"/>
            <w:shd w:val="clear" w:color="auto" w:fill="auto"/>
            <w:vAlign w:val="center"/>
          </w:tcPr>
          <w:p>
            <w:pPr>
              <w:pStyle w:val="Normal(Web)"/>
              <w:divId w:val="388"/>
              <w:rPr>
                <w:vanish w:val="0"/>
              </w:rPr>
            </w:pPr>
            <w:r>
              <w:t xml:space="preserve">Trong </w:t>
            </w:r>
            <w:r>
              <w:t xml:space="preserve">điều kiện</w:t>
            </w:r>
            <w:r>
              <w:t xml:space="preserve"> ánh sáng ban ngày phải bảo đảm nhận biết được tín hiệu ở khoảng cách 20 m</w:t>
            </w:r>
          </w:p>
        </w:tc>
      </w:tr>
      <w:tr>
        <w:trPr>
          <w:jc w:val="left"/>
        </w:trPr>
        <w:tc>
          <w:tcPr>
            <w:tcW w:w="0" w:type="auto"/>
            <w:shd w:val="clear" w:color="auto" w:fill="auto"/>
            <w:vAlign w:val="center"/>
          </w:tcPr>
          <w:p>
            <w:pPr>
              <w:pStyle w:val="Normal(Web)"/>
              <w:divId w:val="389"/>
              <w:jc w:val="center"/>
              <w:rPr>
                <w:vanish w:val="0"/>
              </w:rPr>
            </w:pPr>
            <w:r>
              <w:t xml:space="preserve">3.</w:t>
            </w:r>
          </w:p>
        </w:tc>
        <w:tc>
          <w:tcPr>
            <w:tcW w:w="0" w:type="auto"/>
            <w:shd w:val="clear" w:color="auto" w:fill="auto"/>
            <w:vAlign w:val="center"/>
          </w:tcPr>
          <w:p>
            <w:pPr>
              <w:pStyle w:val="Normal(Web)"/>
              <w:divId w:val="390"/>
              <w:rPr>
                <w:vanish w:val="0"/>
              </w:rPr>
            </w:pPr>
            <w:r>
              <w:t xml:space="preserve">Đèn báo rẽ sau</w:t>
            </w:r>
          </w:p>
        </w:tc>
        <w:tc>
          <w:tcPr>
            <w:tcW w:w="0" w:type="auto"/>
            <w:shd w:val="clear" w:color="auto" w:fill="auto"/>
            <w:vAlign w:val="center"/>
          </w:tcPr>
          <w:p>
            <w:pPr>
              <w:pStyle w:val="Normal(Web)"/>
              <w:divId w:val="391"/>
              <w:rPr>
                <w:vanish w:val="0"/>
              </w:rPr>
            </w:pPr>
            <w:r>
              <w:t xml:space="preserve">Vàng</w:t>
            </w:r>
          </w:p>
        </w:tc>
        <w:tc>
          <w:tcPr>
            <w:tcW w:w="0" w:type="auto"/>
            <w:shd w:val="clear" w:color="auto" w:fill="auto"/>
            <w:vAlign w:val="center"/>
          </w:tcPr>
          <w:p>
            <w:pPr>
              <w:pStyle w:val="Normal(Web)"/>
              <w:divId w:val="392"/>
              <w:jc w:val="center"/>
              <w:rPr>
                <w:vanish w:val="0"/>
              </w:rPr>
            </w:pPr>
            <w:r>
              <w:t xml:space="preserve">2</w:t>
            </w:r>
          </w:p>
        </w:tc>
        <w:tc>
          <w:tcPr>
            <w:tcW w:w="0" w:type="auto"/>
            <w:vMerge/>
            <w:shd w:val="clear" w:color="auto" w:fill="auto"/>
            <w:vAlign w:val="center"/>
          </w:tcPr>
          <w:p>
            <w:pPr/>
          </w:p>
        </w:tc>
      </w:tr>
      <w:tr>
        <w:trPr>
          <w:jc w:val="left"/>
        </w:trPr>
        <w:tc>
          <w:tcPr>
            <w:tcW w:w="0" w:type="auto"/>
            <w:shd w:val="clear" w:color="auto" w:fill="auto"/>
            <w:vAlign w:val="center"/>
          </w:tcPr>
          <w:p>
            <w:pPr>
              <w:pStyle w:val="Normal(Web)"/>
              <w:divId w:val="393"/>
              <w:jc w:val="center"/>
              <w:rPr>
                <w:vanish w:val="0"/>
              </w:rPr>
            </w:pPr>
            <w:r>
              <w:t xml:space="preserve">4.</w:t>
            </w:r>
          </w:p>
        </w:tc>
        <w:tc>
          <w:tcPr>
            <w:tcW w:w="0" w:type="auto"/>
            <w:shd w:val="clear" w:color="auto" w:fill="auto"/>
            <w:vAlign w:val="center"/>
          </w:tcPr>
          <w:p>
            <w:pPr>
              <w:pStyle w:val="Normal(Web)"/>
              <w:divId w:val="394"/>
              <w:rPr>
                <w:vanish w:val="0"/>
              </w:rPr>
            </w:pPr>
            <w:r>
              <w:t xml:space="preserve">Đèn phanh</w:t>
            </w:r>
          </w:p>
        </w:tc>
        <w:tc>
          <w:tcPr>
            <w:tcW w:w="0" w:type="auto"/>
            <w:shd w:val="clear" w:color="auto" w:fill="auto"/>
            <w:vAlign w:val="center"/>
          </w:tcPr>
          <w:p>
            <w:pPr>
              <w:pStyle w:val="Normal(Web)"/>
              <w:divId w:val="395"/>
              <w:rPr>
                <w:vanish w:val="0"/>
              </w:rPr>
            </w:pPr>
            <w:r>
              <w:t xml:space="preserve">Đỏ</w:t>
            </w:r>
          </w:p>
        </w:tc>
        <w:tc>
          <w:tcPr>
            <w:tcW w:w="0" w:type="auto"/>
            <w:shd w:val="clear" w:color="auto" w:fill="auto"/>
            <w:vAlign w:val="center"/>
          </w:tcPr>
          <w:p>
            <w:pPr>
              <w:pStyle w:val="Normal(Web)"/>
              <w:divId w:val="396"/>
              <w:jc w:val="center"/>
              <w:rPr>
                <w:vanish w:val="0"/>
              </w:rPr>
            </w:pPr>
            <w:r>
              <w:t xml:space="preserve">2</w:t>
            </w:r>
          </w:p>
        </w:tc>
        <w:tc>
          <w:tcPr>
            <w:tcW w:w="0" w:type="auto"/>
            <w:vMerge/>
            <w:shd w:val="clear" w:color="auto" w:fill="auto"/>
            <w:vAlign w:val="center"/>
          </w:tcPr>
          <w:p>
            <w:pPr/>
          </w:p>
        </w:tc>
      </w:tr>
      <w:tr>
        <w:trPr>
          <w:jc w:val="left"/>
        </w:trPr>
        <w:tc>
          <w:tcPr>
            <w:tcW w:w="0" w:type="auto"/>
            <w:shd w:val="clear" w:color="auto" w:fill="auto"/>
            <w:vAlign w:val="center"/>
          </w:tcPr>
          <w:p>
            <w:pPr>
              <w:pStyle w:val="Normal(Web)"/>
              <w:divId w:val="397"/>
              <w:jc w:val="center"/>
              <w:rPr>
                <w:vanish w:val="0"/>
              </w:rPr>
            </w:pPr>
            <w:r>
              <w:t xml:space="preserve">5.</w:t>
            </w:r>
          </w:p>
        </w:tc>
        <w:tc>
          <w:tcPr>
            <w:tcW w:w="0" w:type="auto"/>
            <w:shd w:val="clear" w:color="auto" w:fill="auto"/>
            <w:vAlign w:val="center"/>
          </w:tcPr>
          <w:p>
            <w:pPr>
              <w:pStyle w:val="Normal(Web)"/>
              <w:divId w:val="398"/>
              <w:rPr>
                <w:vanish w:val="0"/>
              </w:rPr>
            </w:pPr>
            <w:r>
              <w:t xml:space="preserve">Đèn lùi</w:t>
            </w:r>
          </w:p>
        </w:tc>
        <w:tc>
          <w:tcPr>
            <w:tcW w:w="0" w:type="auto"/>
            <w:shd w:val="clear" w:color="auto" w:fill="auto"/>
            <w:vAlign w:val="center"/>
          </w:tcPr>
          <w:p>
            <w:pPr>
              <w:pStyle w:val="Normal(Web)"/>
              <w:divId w:val="399"/>
              <w:rPr>
                <w:vanish w:val="0"/>
              </w:rPr>
            </w:pPr>
            <w:r>
              <w:t xml:space="preserve">Trắng</w:t>
            </w:r>
          </w:p>
        </w:tc>
        <w:tc>
          <w:tcPr>
            <w:tcW w:w="0" w:type="auto"/>
            <w:shd w:val="clear" w:color="auto" w:fill="auto"/>
            <w:vAlign w:val="center"/>
          </w:tcPr>
          <w:p>
            <w:pPr>
              <w:pStyle w:val="Normal(Web)"/>
              <w:divId w:val="400"/>
              <w:jc w:val="center"/>
              <w:rPr>
                <w:vanish w:val="0"/>
              </w:rPr>
            </w:pPr>
            <w:r>
              <w:t xml:space="preserve">1</w:t>
            </w:r>
            <w:r>
              <w:rPr>
                <w:vertAlign w:val="superscript"/>
              </w:rPr>
              <w:t xml:space="preserve">(1)</w:t>
            </w:r>
          </w:p>
        </w:tc>
        <w:tc>
          <w:tcPr>
            <w:tcW w:w="0" w:type="auto"/>
            <w:vMerge/>
            <w:shd w:val="clear" w:color="auto" w:fill="auto"/>
            <w:vAlign w:val="center"/>
          </w:tcPr>
          <w:p>
            <w:pPr/>
          </w:p>
        </w:tc>
      </w:tr>
      <w:tr>
        <w:trPr>
          <w:jc w:val="left"/>
        </w:trPr>
        <w:tc>
          <w:tcPr>
            <w:tcW w:w="0" w:type="auto"/>
            <w:shd w:val="clear" w:color="auto" w:fill="auto"/>
            <w:vAlign w:val="center"/>
          </w:tcPr>
          <w:p>
            <w:pPr>
              <w:pStyle w:val="Normal(Web)"/>
              <w:divId w:val="401"/>
              <w:jc w:val="center"/>
              <w:rPr>
                <w:vanish w:val="0"/>
              </w:rPr>
            </w:pPr>
            <w:r>
              <w:t xml:space="preserve">6.</w:t>
            </w:r>
          </w:p>
        </w:tc>
        <w:tc>
          <w:tcPr>
            <w:tcW w:w="0" w:type="auto"/>
            <w:shd w:val="clear" w:color="auto" w:fill="auto"/>
            <w:vAlign w:val="center"/>
          </w:tcPr>
          <w:p>
            <w:pPr>
              <w:pStyle w:val="Normal(Web)"/>
              <w:divId w:val="402"/>
              <w:rPr>
                <w:vanish w:val="0"/>
              </w:rPr>
            </w:pPr>
            <w:r>
              <w:t xml:space="preserve">Đèn vị trí trước</w:t>
            </w:r>
            <w:r>
              <w:rPr>
                <w:vertAlign w:val="superscript"/>
              </w:rPr>
              <w:t xml:space="preserve">(2)</w:t>
            </w:r>
          </w:p>
        </w:tc>
        <w:tc>
          <w:tcPr>
            <w:tcW w:w="0" w:type="auto"/>
            <w:shd w:val="clear" w:color="auto" w:fill="auto"/>
            <w:vAlign w:val="center"/>
          </w:tcPr>
          <w:p>
            <w:pPr>
              <w:pStyle w:val="Normal(Web)"/>
              <w:divId w:val="403"/>
              <w:rPr>
                <w:vanish w:val="0"/>
              </w:rPr>
            </w:pPr>
            <w:r>
              <w:t xml:space="preserve">Trắng hoặc vàng nhạt</w:t>
            </w:r>
          </w:p>
        </w:tc>
        <w:tc>
          <w:tcPr>
            <w:tcW w:w="0" w:type="auto"/>
            <w:shd w:val="clear" w:color="auto" w:fill="auto"/>
            <w:vAlign w:val="center"/>
          </w:tcPr>
          <w:p>
            <w:pPr>
              <w:pStyle w:val="Normal(Web)"/>
              <w:divId w:val="404"/>
              <w:jc w:val="center"/>
              <w:rPr>
                <w:vanish w:val="0"/>
              </w:rPr>
            </w:pPr>
            <w:r>
              <w:t xml:space="preserve">2</w:t>
            </w:r>
          </w:p>
        </w:tc>
        <w:tc>
          <w:tcPr>
            <w:tcW w:w="0" w:type="auto"/>
            <w:vMerge w:val="restart"/>
            <w:shd w:val="clear" w:color="auto" w:fill="auto"/>
            <w:vAlign w:val="center"/>
          </w:tcPr>
          <w:p>
            <w:pPr>
              <w:pStyle w:val="Normal(Web)"/>
              <w:divId w:val="405"/>
              <w:rPr>
                <w:vanish w:val="0"/>
              </w:rPr>
            </w:pPr>
            <w:r>
              <w:t xml:space="preserve">Trong điều kiện ánh sáng ban ngày phải bảo đảm nhận biết được tín hiệu ở khoảng cách 10 m</w:t>
            </w:r>
          </w:p>
        </w:tc>
      </w:tr>
      <w:tr>
        <w:trPr>
          <w:jc w:val="left"/>
        </w:trPr>
        <w:tc>
          <w:tcPr>
            <w:tcW w:w="0" w:type="auto"/>
            <w:shd w:val="clear" w:color="auto" w:fill="auto"/>
            <w:vAlign w:val="center"/>
          </w:tcPr>
          <w:p>
            <w:pPr>
              <w:pStyle w:val="Normal(Web)"/>
              <w:divId w:val="406"/>
              <w:jc w:val="center"/>
              <w:rPr>
                <w:vanish w:val="0"/>
              </w:rPr>
            </w:pPr>
            <w:r>
              <w:t xml:space="preserve">7.</w:t>
            </w:r>
          </w:p>
        </w:tc>
        <w:tc>
          <w:tcPr>
            <w:tcW w:w="0" w:type="auto"/>
            <w:shd w:val="clear" w:color="auto" w:fill="auto"/>
            <w:vAlign w:val="center"/>
          </w:tcPr>
          <w:p>
            <w:pPr>
              <w:pStyle w:val="Normal(Web)"/>
              <w:divId w:val="407"/>
              <w:rPr>
                <w:vanish w:val="0"/>
              </w:rPr>
            </w:pPr>
            <w:r>
              <w:t xml:space="preserve">Đèn vị trí sau (đèn hậu)</w:t>
            </w:r>
          </w:p>
        </w:tc>
        <w:tc>
          <w:tcPr>
            <w:tcW w:w="0" w:type="auto"/>
            <w:shd w:val="clear" w:color="auto" w:fill="auto"/>
            <w:vAlign w:val="center"/>
          </w:tcPr>
          <w:p>
            <w:pPr>
              <w:pStyle w:val="Normal(Web)"/>
              <w:divId w:val="408"/>
              <w:rPr>
                <w:vanish w:val="0"/>
              </w:rPr>
            </w:pPr>
            <w:r>
              <w:t xml:space="preserve">Đỏ</w:t>
            </w:r>
          </w:p>
        </w:tc>
        <w:tc>
          <w:tcPr>
            <w:tcW w:w="0" w:type="auto"/>
            <w:shd w:val="clear" w:color="auto" w:fill="auto"/>
            <w:vAlign w:val="center"/>
          </w:tcPr>
          <w:p>
            <w:pPr>
              <w:pStyle w:val="Normal(Web)"/>
              <w:divId w:val="409"/>
              <w:jc w:val="center"/>
              <w:rPr>
                <w:vanish w:val="0"/>
              </w:rPr>
            </w:pPr>
            <w:r>
              <w:t xml:space="preserve">2</w:t>
            </w:r>
          </w:p>
        </w:tc>
        <w:tc>
          <w:tcPr>
            <w:tcW w:w="0" w:type="auto"/>
            <w:vMerge/>
            <w:shd w:val="clear" w:color="auto" w:fill="auto"/>
            <w:vAlign w:val="center"/>
          </w:tcPr>
          <w:p>
            <w:pPr/>
          </w:p>
        </w:tc>
      </w:tr>
      <w:tr>
        <w:trPr>
          <w:jc w:val="left"/>
        </w:trPr>
        <w:tc>
          <w:tcPr>
            <w:tcW w:w="0" w:type="auto"/>
            <w:shd w:val="clear" w:color="auto" w:fill="auto"/>
            <w:vAlign w:val="center"/>
          </w:tcPr>
          <w:p>
            <w:pPr>
              <w:pStyle w:val="Normal(Web)"/>
              <w:divId w:val="410"/>
              <w:jc w:val="center"/>
              <w:rPr>
                <w:vanish w:val="0"/>
              </w:rPr>
            </w:pPr>
            <w:r>
              <w:t xml:space="preserve">8.</w:t>
            </w:r>
          </w:p>
        </w:tc>
        <w:tc>
          <w:tcPr>
            <w:tcW w:w="0" w:type="auto"/>
            <w:shd w:val="clear" w:color="auto" w:fill="auto"/>
            <w:vAlign w:val="center"/>
          </w:tcPr>
          <w:p>
            <w:pPr>
              <w:pStyle w:val="Normal(Web)"/>
              <w:divId w:val="411"/>
              <w:rPr>
                <w:vanish w:val="0"/>
              </w:rPr>
            </w:pPr>
            <w:r>
              <w:t xml:space="preserve">Đèn soi biển số sau</w:t>
            </w:r>
          </w:p>
        </w:tc>
        <w:tc>
          <w:tcPr>
            <w:tcW w:w="0" w:type="auto"/>
            <w:shd w:val="clear" w:color="auto" w:fill="auto"/>
            <w:vAlign w:val="center"/>
          </w:tcPr>
          <w:p>
            <w:pPr>
              <w:pStyle w:val="Normal(Web)"/>
              <w:divId w:val="412"/>
              <w:rPr>
                <w:vanish w:val="0"/>
              </w:rPr>
            </w:pPr>
            <w:r>
              <w:t xml:space="preserve">Trắng</w:t>
            </w:r>
          </w:p>
        </w:tc>
        <w:tc>
          <w:tcPr>
            <w:tcW w:w="0" w:type="auto"/>
            <w:shd w:val="clear" w:color="auto" w:fill="auto"/>
            <w:vAlign w:val="center"/>
          </w:tcPr>
          <w:p>
            <w:pPr>
              <w:pStyle w:val="Normal(Web)"/>
              <w:divId w:val="413"/>
              <w:jc w:val="center"/>
              <w:rPr>
                <w:vanish w:val="0"/>
              </w:rPr>
            </w:pPr>
            <w:r>
              <w:t xml:space="preserve">1</w:t>
            </w:r>
          </w:p>
        </w:tc>
        <w:tc>
          <w:tcPr>
            <w:tcW w:w="0" w:type="auto"/>
            <w:vMerge/>
            <w:shd w:val="clear" w:color="auto" w:fill="auto"/>
            <w:vAlign w:val="center"/>
          </w:tcPr>
          <w:p>
            <w:pPr/>
          </w:p>
        </w:tc>
      </w:tr>
      <w:tr>
        <w:trPr>
          <w:jc w:val="left"/>
        </w:trPr>
        <w:tc>
          <w:tcPr>
            <w:tcW w:w="0" w:type="auto"/>
            <w:shd w:val="clear" w:color="auto" w:fill="auto"/>
            <w:vAlign w:val="center"/>
          </w:tcPr>
          <w:p>
            <w:pPr>
              <w:pStyle w:val="Normal(Web)"/>
              <w:divId w:val="414"/>
              <w:jc w:val="center"/>
              <w:rPr>
                <w:vanish w:val="0"/>
              </w:rPr>
            </w:pPr>
            <w:r>
              <w:t xml:space="preserve">9.</w:t>
            </w:r>
          </w:p>
        </w:tc>
        <w:tc>
          <w:tcPr>
            <w:tcW w:w="0" w:type="auto"/>
            <w:shd w:val="clear" w:color="auto" w:fill="auto"/>
            <w:vAlign w:val="center"/>
          </w:tcPr>
          <w:p>
            <w:pPr>
              <w:pStyle w:val="Normal(Web)"/>
              <w:divId w:val="415"/>
              <w:rPr>
                <w:vanish w:val="0"/>
              </w:rPr>
            </w:pPr>
            <w:r>
              <w:t xml:space="preserve">Tấm phản quang phía sau</w:t>
            </w:r>
          </w:p>
        </w:tc>
        <w:tc>
          <w:tcPr>
            <w:tcW w:w="0" w:type="auto"/>
            <w:shd w:val="clear" w:color="auto" w:fill="auto"/>
            <w:vAlign w:val="center"/>
          </w:tcPr>
          <w:p>
            <w:pPr>
              <w:pStyle w:val="Normal(Web)"/>
              <w:divId w:val="416"/>
              <w:rPr>
                <w:vanish w:val="0"/>
              </w:rPr>
            </w:pPr>
            <w:r>
              <w:t xml:space="preserve">Đỏ</w:t>
            </w:r>
          </w:p>
        </w:tc>
        <w:tc>
          <w:tcPr>
            <w:tcW w:w="0" w:type="auto"/>
            <w:shd w:val="clear" w:color="auto" w:fill="auto"/>
            <w:vAlign w:val="center"/>
          </w:tcPr>
          <w:p>
            <w:pPr>
              <w:pStyle w:val="Normal(Web)"/>
              <w:divId w:val="417"/>
              <w:jc w:val="center"/>
              <w:rPr>
                <w:vanish w:val="0"/>
              </w:rPr>
            </w:pPr>
            <w:r>
              <w:t xml:space="preserve">02</w:t>
            </w:r>
          </w:p>
        </w:tc>
        <w:tc>
          <w:tcPr>
            <w:tcW w:w="0" w:type="auto"/>
            <w:shd w:val="clear" w:color="auto" w:fill="auto"/>
            <w:vAlign w:val="center"/>
          </w:tcPr>
          <w:p>
            <w:pPr>
              <w:pStyle w:val="Normal(Web)"/>
              <w:divId w:val="418"/>
              <w:rPr>
                <w:vanish w:val="0"/>
              </w:rPr>
            </w:pPr>
            <w:r>
              <w:t xml:space="preserve">Ánh sáng phản chiếu của tấm phản quang phải bảo đảm nhận biết được vào ban đêm từ khoảng cách 100 m phía sau xe khi được chiếu sáng bằng ánh sáng đèn pha của Xe khác</w:t>
            </w:r>
          </w:p>
        </w:tc>
      </w:tr>
      <w:tr>
        <w:trPr>
          <w:jc w:val="left"/>
        </w:trPr>
        <w:tc>
          <w:tcPr>
            <w:tcW w:w="0" w:type="auto"/>
            <w:hMerge w:val="restart"/>
            <w:shd w:val="clear" w:color="auto" w:fill="auto"/>
            <w:vAlign w:val="center"/>
          </w:tcPr>
          <w:p>
            <w:pPr>
              <w:pStyle w:val="Normal(Web)"/>
              <w:divId w:val="419"/>
              <w:rPr>
                <w:vanish w:val="0"/>
              </w:rPr>
            </w:pPr>
            <w:r>
              <w:rPr>
                <w:b/>
                <w:i/>
              </w:rPr>
              <w:t xml:space="preserve">Chú thích:</w:t>
            </w:r>
            <w:r>
              <w:t xml:space="preserve"> </w:t>
            </w:r>
            <w:r>
              <w:rPr>
                <w:vertAlign w:val="superscript"/>
              </w:rPr>
              <w:t xml:space="preserve">(1)</w:t>
            </w:r>
            <w:r>
              <w:t xml:space="preserve"> Nhưng không quá 2 đèn.</w:t>
            </w:r>
          </w:p>
          <w:p>
            <w:pPr>
              <w:pStyle w:val="Normal(Web)"/>
              <w:divId w:val="420"/>
              <w:rPr>
                <w:vanish w:val="0"/>
              </w:rPr>
            </w:pPr>
            <w:r>
              <w:rPr>
                <w:vertAlign w:val="superscript"/>
              </w:rPr>
              <w:t xml:space="preserve">(2) </w:t>
            </w:r>
            <w:r>
              <w:t xml:space="preserve">Đèn vị trí trước có thể được sử dụng kết hợp với các đèn khác.</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bl>
    <w:p>
      <w:pPr>
        <w:pStyle w:val="Normal(Web)"/>
        <w:divId w:val="421"/>
        <w:rPr>
          <w:vanish w:val="0"/>
        </w:rPr>
      </w:pPr>
      <w:r>
        <w:rPr>
          <w:b/>
        </w:rPr>
        <w:t xml:space="preserve">14. Hệ thống điện</w:t>
      </w:r>
    </w:p>
    <w:p>
      <w:pPr>
        <w:pStyle w:val="Normal(Web)"/>
        <w:divId w:val="422"/>
        <w:rPr>
          <w:vanish w:val="0"/>
        </w:rPr>
      </w:pPr>
      <w:r>
        <w:t xml:space="preserve">14.1. Dây dẫn điện phải được bọc cách điện và lắp đặt chắc chắn.</w:t>
      </w:r>
    </w:p>
    <w:p>
      <w:pPr>
        <w:pStyle w:val="Normal(Web)"/>
        <w:divId w:val="423"/>
        <w:rPr>
          <w:vanish w:val="0"/>
        </w:rPr>
      </w:pPr>
      <w:r>
        <w:t xml:space="preserve">14.2. Các giắc nối, công tắc phải bảo đảm an toàn.</w:t>
      </w:r>
    </w:p>
    <w:p>
      <w:pPr>
        <w:pStyle w:val="Normal(Web)"/>
        <w:divId w:val="424"/>
        <w:rPr>
          <w:vanish w:val="0"/>
        </w:rPr>
      </w:pPr>
      <w:r>
        <w:t xml:space="preserve">14.3. Ắc quy phải được lắp đặt cố định chắc chắn.</w:t>
      </w:r>
    </w:p>
    <w:p>
      <w:pPr>
        <w:pStyle w:val="Normal(Web)"/>
        <w:divId w:val="425"/>
        <w:rPr>
          <w:vanish w:val="0"/>
        </w:rPr>
      </w:pPr>
      <w:r>
        <w:t xml:space="preserve">14.4. Hệ thống điều khiển điện đối với Xe sử dụng động cơ điện phải có chức năng bảo vệ khi quá tải dòng điện và bảo vệ khi sụt điện áp.</w:t>
      </w:r>
    </w:p>
    <w:p>
      <w:pPr>
        <w:pStyle w:val="Normal(Web)"/>
        <w:divId w:val="426"/>
        <w:rPr>
          <w:vanish w:val="0"/>
        </w:rPr>
      </w:pPr>
      <w:r>
        <w:rPr>
          <w:b/>
        </w:rPr>
        <w:t xml:space="preserve">15. Cơ cấu điều khiển</w:t>
      </w:r>
    </w:p>
    <w:p>
      <w:pPr>
        <w:pStyle w:val="Normal(Web)"/>
        <w:divId w:val="427"/>
        <w:rPr>
          <w:vanish w:val="0"/>
        </w:rPr>
      </w:pPr>
      <w:r>
        <w:t xml:space="preserve">Báo hiệu làm việc và chỉ báo, đồng hồ và cơ cấu điều khiển liệt kê dưới đây (nếu có) phải được lắp đặt trong phạm vi giới hạn bởi hai mặt phẳng song song với mặt phẳng trung tuyến dọc của xe cách đường tâm trục lái 500 mm về hai phía và đảm bảo cho người lái có thể nhận biết, điều khiển chúng một cách dễ dàng.</w:t>
      </w:r>
    </w:p>
    <w:p>
      <w:pPr>
        <w:pStyle w:val="Normal(Web)"/>
        <w:divId w:val="428"/>
        <w:rPr>
          <w:vanish w:val="0"/>
        </w:rPr>
      </w:pPr>
      <w:r>
        <w:t xml:space="preserve">15.1. Công tắc khởi động, tắt động cơ.</w:t>
      </w:r>
    </w:p>
    <w:p>
      <w:pPr>
        <w:pStyle w:val="Normal(Web)"/>
        <w:divId w:val="429"/>
        <w:rPr>
          <w:vanish w:val="0"/>
        </w:rPr>
      </w:pPr>
      <w:r>
        <w:t xml:space="preserve">15.2. Các cơ cấu điều khiển hệ thống phanh, hệ thống truyền lực và bàn đạp ga.</w:t>
      </w:r>
    </w:p>
    <w:p>
      <w:pPr>
        <w:pStyle w:val="Normal(Web)"/>
        <w:divId w:val="430"/>
        <w:rPr>
          <w:vanish w:val="0"/>
        </w:rPr>
      </w:pPr>
      <w:r>
        <w:t xml:space="preserve">15.3. Công tắc đèn chiếu sáng phía trước, còi, đèn báo rẽ, gạt nước.</w:t>
      </w:r>
    </w:p>
    <w:p>
      <w:pPr>
        <w:pStyle w:val="Normal(Web)"/>
        <w:divId w:val="431"/>
        <w:rPr>
          <w:vanish w:val="0"/>
        </w:rPr>
      </w:pPr>
      <w:r>
        <w:t xml:space="preserve">15.4. Đồng hồ tốc độ, đồng hồ đo quãng đường đi được, đèn báo hiệu tình trạng làm việc của các đèn báo rẽ, đèn chiếu xa, hệ thống nhiên liệu, dung dịch làm mát động cơ, dầu bôi trơn, hệ thống phanh và hệ thống nạp ắc quy, hiển thị mức điện năng của ắc quy đối với Xe dẫn động bằng động cơ điện.</w:t>
      </w:r>
    </w:p>
    <w:p>
      <w:pPr>
        <w:pStyle w:val="Normal(Web)"/>
        <w:divId w:val="432"/>
        <w:rPr>
          <w:vanish w:val="0"/>
        </w:rPr>
      </w:pPr>
      <w:r>
        <w:rPr>
          <w:b/>
        </w:rPr>
        <w:t xml:space="preserve">16. Đồng hồ đo vận tốc</w:t>
      </w:r>
    </w:p>
    <w:p>
      <w:pPr>
        <w:pStyle w:val="Normal(Web)"/>
        <w:divId w:val="433"/>
        <w:rPr>
          <w:vanish w:val="0"/>
        </w:rPr>
      </w:pPr>
      <w:r>
        <w:t xml:space="preserve">16.1. Xe phải có đồng hồ đo vận tốc.</w:t>
      </w:r>
    </w:p>
    <w:p>
      <w:pPr>
        <w:pStyle w:val="Normal(Web)"/>
        <w:divId w:val="434"/>
        <w:rPr>
          <w:vanish w:val="0"/>
        </w:rPr>
      </w:pPr>
      <w:r>
        <w:t xml:space="preserve">16.2. Đơn vị đo vận tốc trên đồng hồ là km/h.</w:t>
      </w:r>
    </w:p>
    <w:p>
      <w:pPr>
        <w:pStyle w:val="Normal(Web)"/>
        <w:divId w:val="435"/>
        <w:rPr>
          <w:vanish w:val="0"/>
        </w:rPr>
      </w:pPr>
      <w:r>
        <w:t xml:space="preserve">16.3. Sai số cho phép của đồng hồ đo vận tốc phải nằm trong giới hạn từ âm (-) 10% đến dương (+) 15% khi đo ở vận tốc lớn nhất của Xe.</w:t>
      </w:r>
    </w:p>
    <w:p>
      <w:pPr>
        <w:pStyle w:val="Normal(Web)"/>
        <w:divId w:val="436"/>
        <w:rPr>
          <w:vanish w:val="0"/>
        </w:rPr>
      </w:pPr>
      <w:r>
        <w:rPr>
          <w:b/>
        </w:rPr>
        <w:t xml:space="preserve">17. Còi</w:t>
      </w:r>
    </w:p>
    <w:p>
      <w:pPr>
        <w:pStyle w:val="Normal(Web)"/>
        <w:divId w:val="437"/>
        <w:rPr>
          <w:vanish w:val="0"/>
        </w:rPr>
      </w:pPr>
      <w:r>
        <w:t xml:space="preserve">17.1. Xe phải có ít nhất một còi. Còi phải có âm thanh liên tục với âm lượng ổn định.</w:t>
      </w:r>
    </w:p>
    <w:p>
      <w:pPr>
        <w:pStyle w:val="Normal(Web)"/>
        <w:divId w:val="438"/>
        <w:rPr>
          <w:vanish w:val="0"/>
        </w:rPr>
      </w:pPr>
      <w:r>
        <w:t xml:space="preserve">17.2. Âm lượng còi (khi đo ở khoảng cách đặt micro là 2 m tính từ đầu Xe, chiều cao là 1,2 m) không nhỏ hơn 65 dB(A), không lớn hơn 115 dB(A).</w:t>
      </w:r>
    </w:p>
    <w:p>
      <w:pPr>
        <w:pStyle w:val="Normal(Web)"/>
        <w:divId w:val="439"/>
        <w:rPr>
          <w:vanish w:val="0"/>
        </w:rPr>
      </w:pPr>
      <w:r>
        <w:rPr>
          <w:b/>
        </w:rPr>
        <w:t xml:space="preserve">18. Gương chiếu hậu</w:t>
      </w:r>
    </w:p>
    <w:p>
      <w:pPr>
        <w:pStyle w:val="Normal(Web)"/>
        <w:divId w:val="440"/>
        <w:rPr>
          <w:vanish w:val="0"/>
        </w:rPr>
      </w:pPr>
      <w:r>
        <w:t xml:space="preserve">18.1. Xe phải có hai gương chiếu hậu lắp ngoài ở bên trái và bên phải của Xe.</w:t>
      </w:r>
    </w:p>
    <w:p>
      <w:pPr>
        <w:pStyle w:val="Normal(Web)"/>
        <w:divId w:val="441"/>
        <w:rPr>
          <w:vanish w:val="0"/>
        </w:rPr>
      </w:pPr>
      <w:r>
        <w:t xml:space="preserve">18.2. Gương chiếu hậu phải được lắp đặt chắc chắn, điều chỉnh dễ dàng.</w:t>
      </w:r>
    </w:p>
    <w:p>
      <w:pPr>
        <w:pStyle w:val="Normal(Web)"/>
        <w:divId w:val="442"/>
        <w:rPr>
          <w:vanish w:val="0"/>
        </w:rPr>
      </w:pPr>
      <w:r>
        <w:t xml:space="preserve">18.3. Gương lắp ngoài bên trái xe phải đảm bảo cho người lái nhìn thấy được phần đường nằm ngang, phẳng rộng ít nhất 2,5 m, kể từ điểm ngoài cùng của mặt bên trái Xe trở ra phía giữa đường và cách mắt người lái về phía sau Xe 10 m.</w:t>
      </w:r>
    </w:p>
    <w:p>
      <w:pPr>
        <w:pStyle w:val="Normal(Web)"/>
        <w:divId w:val="443"/>
        <w:rPr>
          <w:vanish w:val="0"/>
        </w:rPr>
      </w:pPr>
      <w:r>
        <w:t xml:space="preserve">18.4. Gương lắp ngoài bên phải Xe phải đảm bảo cho người lái nhìn thấy được phần đường nằm ngang, phẳng rộng ít nhất 4 m kể từ mặt phẳng song song </w:t>
      </w:r>
      <w:r>
        <w:t xml:space="preserve">với</w:t>
      </w:r>
      <w:r>
        <w:t xml:space="preserve"> mặt phẳng trung tuyết dọc của Xe và đi qua điểm ngoài cùng ở bên phải Xe và cách điểm quan sát của người lái về phía sau Xe 20 m.</w:t>
      </w:r>
    </w:p>
    <w:p>
      <w:pPr>
        <w:pStyle w:val="Normal(Web)"/>
        <w:divId w:val="444"/>
        <w:rPr>
          <w:vanish w:val="0"/>
        </w:rPr>
      </w:pPr>
      <w:r>
        <w:rPr>
          <w:b/>
        </w:rPr>
        <w:t xml:space="preserve">19. Ca bin, khung và thân </w:t>
      </w:r>
      <w:r>
        <w:rPr>
          <w:b/>
        </w:rPr>
        <w:t xml:space="preserve">vỏ</w:t>
      </w:r>
    </w:p>
    <w:p>
      <w:pPr>
        <w:pStyle w:val="Normal(Web)"/>
        <w:divId w:val="445"/>
        <w:rPr>
          <w:vanish w:val="0"/>
        </w:rPr>
      </w:pPr>
      <w:r>
        <w:t xml:space="preserve">19.1. Kính chắn gió phía trước của Xe phải là kính an toàn hoặc kính bằng vật liệu dẻo.</w:t>
      </w:r>
    </w:p>
    <w:p>
      <w:pPr>
        <w:pStyle w:val="Normal(Web)"/>
        <w:divId w:val="446"/>
        <w:rPr>
          <w:vanish w:val="0"/>
        </w:rPr>
      </w:pPr>
      <w:r>
        <w:t xml:space="preserve">19.2. Xe phải trang bị hệ thống gạt nước để đảm bảo tầm nhìn của người lái qua kính chắn gió phía trước Hệ thống gạt nước phải hoạt động đúng chức năng. Lưỡi gạt phải tự chở </w:t>
      </w:r>
      <w:r>
        <w:t xml:space="preserve">về</w:t>
      </w:r>
      <w:r>
        <w:t xml:space="preserve"> vị trí ban đầu khi tắt công tắc gạt nước.</w:t>
      </w:r>
    </w:p>
    <w:p>
      <w:pPr>
        <w:pStyle w:val="Normal(Web)"/>
        <w:divId w:val="447"/>
        <w:rPr>
          <w:vanish w:val="0"/>
        </w:rPr>
      </w:pPr>
      <w:r>
        <w:t xml:space="preserve">19.3. Khung và thân vỏ phải thỏa mãn các yêu cầu sau:</w:t>
      </w:r>
    </w:p>
    <w:p>
      <w:pPr>
        <w:pStyle w:val="Normal(Web)"/>
        <w:divId w:val="448"/>
        <w:rPr>
          <w:vanish w:val="0"/>
        </w:rPr>
      </w:pPr>
      <w:r>
        <w:t xml:space="preserve">19.3.1. Khung và thân vỏ phải được lắp đặt chắc chắn và phải được sơn phủ bằng loại sơn có tác dụng chống gỉ;</w:t>
      </w:r>
    </w:p>
    <w:p>
      <w:pPr>
        <w:pStyle w:val="Normal(Web)"/>
        <w:divId w:val="449"/>
        <w:rPr>
          <w:vanish w:val="0"/>
        </w:rPr>
      </w:pPr>
      <w:r>
        <w:t xml:space="preserve">19.3.2. Phần vỏ Xe làm bằng vật liệu dễ cháy không được tiếp xúc với ống xả;</w:t>
      </w:r>
    </w:p>
    <w:p>
      <w:pPr>
        <w:pStyle w:val="Normal(Web)"/>
        <w:divId w:val="450"/>
        <w:rPr>
          <w:vanish w:val="0"/>
        </w:rPr>
      </w:pPr>
      <w:r>
        <w:t xml:space="preserve">19.3.3. Phần trong và ngoài thân Xe không được có gờ sắc cạnh hoặc phần lồi ra gây nguy hiểm cho người hành khách và cùng tham gia giao thông.</w:t>
      </w:r>
    </w:p>
    <w:p>
      <w:pPr>
        <w:pStyle w:val="Normal(Web)"/>
        <w:divId w:val="451"/>
        <w:rPr>
          <w:vanish w:val="0"/>
        </w:rPr>
      </w:pPr>
      <w:r>
        <w:t xml:space="preserve">19.4. Phải có tay vịn chắc chắn cho vị trí người ngồi ngoài cùng.</w:t>
      </w:r>
    </w:p>
    <w:p>
      <w:pPr>
        <w:pStyle w:val="Normal(Web)"/>
        <w:divId w:val="452"/>
        <w:rPr>
          <w:vanish w:val="0"/>
        </w:rPr>
      </w:pPr>
      <w:r>
        <w:t xml:space="preserve">19.5. Phải có lan can bảo vệ chắc chắn cho vị trí người ngồi ở hàng ghế ngồi cuối cùng có hướng ngược với chiều chuyển động của Xe.</w:t>
      </w:r>
    </w:p>
    <w:p>
      <w:pPr>
        <w:pStyle w:val="Normal(Web)"/>
        <w:divId w:val="453"/>
        <w:rPr>
          <w:vanish w:val="0"/>
        </w:rPr>
      </w:pPr>
      <w:r>
        <w:t xml:space="preserve">19.6. Chiều cao của bậc lên xuống thứ nhất tính từ mặt đất của Xe không được lớn hơn 450 mm và bậc tiếp theo là 350 mm.</w:t>
      </w:r>
    </w:p>
    <w:p>
      <w:pPr>
        <w:pStyle w:val="Normal(Web)"/>
        <w:divId w:val="454"/>
        <w:rPr>
          <w:vanish w:val="0"/>
        </w:rPr>
      </w:pPr>
      <w:r>
        <w:t xml:space="preserve">19.7. Mặt sàn Xe và mặt bậc lên xuống phải tạo nhám hoặc phủ vật liệu chống trượt.</w:t>
      </w:r>
    </w:p>
    <w:p>
      <w:pPr>
        <w:pStyle w:val="Normal(Web)"/>
        <w:divId w:val="455"/>
        <w:rPr>
          <w:vanish w:val="0"/>
        </w:rPr>
      </w:pPr>
      <w:r>
        <w:t xml:space="preserve">19.8. Ghế ngồi</w:t>
      </w:r>
    </w:p>
    <w:p>
      <w:pPr>
        <w:pStyle w:val="Normal(Web)"/>
        <w:divId w:val="456"/>
        <w:rPr>
          <w:vanish w:val="0"/>
        </w:rPr>
      </w:pPr>
      <w:r>
        <w:t xml:space="preserve">19.8.1. Chỗ ngồi phải được trang bị đai an toàn loại ít nhất có hai điểm.</w:t>
      </w:r>
    </w:p>
    <w:p>
      <w:pPr>
        <w:pStyle w:val="Normal(Web)"/>
        <w:divId w:val="457"/>
        <w:rPr>
          <w:vanish w:val="0"/>
        </w:rPr>
      </w:pPr>
      <w:r>
        <w:t xml:space="preserve">19.8.2. Ghế lái phải được lắp đặt sao cho đảm bảo tầm nhìn của người lái để điều khiển Xe.</w:t>
      </w:r>
    </w:p>
    <w:p>
      <w:pPr>
        <w:pStyle w:val="Normal(Web)"/>
        <w:divId w:val="458"/>
        <w:rPr>
          <w:vanish w:val="0"/>
        </w:rPr>
      </w:pPr>
      <w:r>
        <w:t xml:space="preserve">18.8.3. Ghế lái phải có đủ không gian để người lái vận hành các thiết bị điều khiển một cách dễ dàng. Độ lệch tâm giữa ghế lái và trục lái không được ảnh hưởng đến khả năng điều khiển Xe của người lái và không được lớn hơn 40 mm. Kích thước chiều rộng đệm ngồi không nhỏ hơn 400 ram và chiều sâu đệm ngồi không nhỏ hơn 350 mm.</w:t>
      </w:r>
    </w:p>
    <w:p>
      <w:pPr>
        <w:pStyle w:val="Normal(Web)"/>
        <w:divId w:val="459"/>
        <w:rPr>
          <w:vanish w:val="0"/>
        </w:rPr>
      </w:pPr>
      <w:r>
        <w:t xml:space="preserve">19.8.4. Ghế khách phải được lắp đặt chắc chắn đảm bảo an toàn cho người ngồi khi Xe vận hành trên đường trong điều kiện hoạt động bình thường.</w:t>
      </w:r>
    </w:p>
    <w:p>
      <w:pPr>
        <w:pStyle w:val="Normal(Web)"/>
        <w:divId w:val="460"/>
        <w:rPr>
          <w:vanish w:val="0"/>
        </w:rPr>
      </w:pPr>
      <w:r>
        <w:t xml:space="preserve">19.8.5. Chiều rộng đệm ngồi ghế khách không nhỏ hơn 400 mm tính cho một người, chiều sâu đệm ngồi không nhỏ hơn 350 mm. Chiều cao từ mặt sàn tới mặt đệm ngồi ghế khách nằm trong khoảng từ 380 mm đến 500 mm. Khoảng trống giữa hai hàng ghế ngồi cùng hướng không nhỏ hơn 630 mm; đối với ghế lắp quay mặt vào nhau không nhỏ hơn 1.200 mm.</w:t>
      </w:r>
    </w:p>
    <w:p>
      <w:pPr>
        <w:pStyle w:val="Normal(Web)"/>
        <w:divId w:val="461"/>
        <w:rPr>
          <w:vanish w:val="0"/>
        </w:rPr>
      </w:pPr>
      <w:r>
        <w:t xml:space="preserve">19.8.6. Khoảng cách từ mặt ghế ngồi đến trần Xe không nhỏ hơn 1.000 mm.</w:t>
      </w:r>
    </w:p>
    <w:p>
      <w:pPr>
        <w:pStyle w:val="Normal(Web)"/>
        <w:divId w:val="462"/>
        <w:rPr>
          <w:vanish w:val="0"/>
        </w:rPr>
      </w:pPr>
      <w:r>
        <w:rPr>
          <w:b/>
        </w:rPr>
        <w:t xml:space="preserve">20. Yêu cầu về bảo vệ môi trường</w:t>
      </w:r>
    </w:p>
    <w:p>
      <w:pPr>
        <w:pStyle w:val="Normal(Web)"/>
        <w:divId w:val="463"/>
        <w:rPr>
          <w:vanish w:val="0"/>
        </w:rPr>
      </w:pPr>
      <w:r>
        <w:t xml:space="preserve">20.1. Khi kiểm tra khí thải động cơ theo phương pháp thử nhanh (phương pháp thử được quy định tại tiêu chuẩn TCVN 6438 </w:t>
      </w:r>
      <w:r>
        <w:rPr>
          <w:i/>
        </w:rPr>
        <w:t xml:space="preserve">“Phương tiện giao thông đường bộ - Giới hạn lớn nhất cho phép của khí thải”)</w:t>
      </w:r>
      <w:r>
        <w:t xml:space="preserve"> thì:</w:t>
      </w:r>
    </w:p>
    <w:p>
      <w:pPr>
        <w:pStyle w:val="Normal(Web)"/>
        <w:divId w:val="464"/>
        <w:rPr>
          <w:vanish w:val="0"/>
        </w:rPr>
      </w:pPr>
      <w:r>
        <w:t xml:space="preserve">20.1.1. Đối với Xe lắp động cơ cháy cưỡng bức có chế độ không tải, khi kiểm tra ở chế độ không tải, khí thải của Xe phải thỏa mãn yêu cầu sau:</w:t>
      </w:r>
    </w:p>
    <w:p>
      <w:pPr>
        <w:pStyle w:val="Normal(Web)"/>
        <w:divId w:val="465"/>
        <w:rPr>
          <w:vanish w:val="0"/>
        </w:rPr>
      </w:pPr>
      <w:r>
        <w:t xml:space="preserve">- Cacbonmonoxit CO (% thể tích): ≤ 3,0.</w:t>
      </w:r>
    </w:p>
    <w:p>
      <w:pPr>
        <w:pStyle w:val="Normal(Web)"/>
        <w:divId w:val="466"/>
        <w:rPr>
          <w:vanish w:val="0"/>
        </w:rPr>
      </w:pPr>
      <w:r>
        <w:t xml:space="preserve">- Hydrocabon HC (ppm thể tích): ≤ 600 đối với động cơ 4 kỳ: ≤ 7800 đối với động cơ 2 kỳ.</w:t>
      </w:r>
    </w:p>
    <w:p>
      <w:pPr>
        <w:pStyle w:val="Normal(Web)"/>
        <w:divId w:val="467"/>
        <w:rPr>
          <w:vanish w:val="0"/>
        </w:rPr>
      </w:pPr>
      <w:r>
        <w:t xml:space="preserve">20.1.2. Đối với Xe lắp động cơ cháy do nén, độ khói của khí thải của Xe khi kiểm tra ở chế độ gia tốc tự do phải ≤ 50 % HSU.</w:t>
      </w:r>
    </w:p>
    <w:p>
      <w:pPr>
        <w:pStyle w:val="Normal(Web)"/>
        <w:divId w:val="468"/>
        <w:rPr>
          <w:vanish w:val="0"/>
        </w:rPr>
      </w:pPr>
      <w:r>
        <w:t xml:space="preserve">20.2. Mức ồn tối đa cho phép của Xe khi đỗ được thử theo TCVN 6435 </w:t>
      </w:r>
      <w:r>
        <w:rPr>
          <w:i/>
        </w:rPr>
        <w:t xml:space="preserve">“Âm học - Đo tiếng ồn do phương tiện giao thông đường bộ phát ra khi đỗ - Phương pháp điều tra”</w:t>
      </w:r>
      <w:r>
        <w:t xml:space="preserve"> không vượt quá 85 dB(A).</w:t>
      </w:r>
    </w:p>
    <w:p>
      <w:pPr>
        <w:pStyle w:val="Normal(Web)"/>
        <w:divId w:val="469"/>
        <w:jc w:val="center"/>
        <w:rPr>
          <w:vanish w:val="0"/>
        </w:rPr>
      </w:pPr>
      <w:r>
        <w:t xml:space="preserve">PHỤ LỤC II</w:t>
      </w:r>
    </w:p>
    <w:p>
      <w:pPr>
        <w:pStyle w:val="Normal(Web)"/>
        <w:divId w:val="470"/>
        <w:jc w:val="center"/>
        <w:rPr>
          <w:vanish w:val="0"/>
        </w:rPr>
      </w:pPr>
      <w:r>
        <w:t xml:space="preserve">MẪU - BẢN ĐĂNG KÝ THÔNG SỐ KỸ THUẬT XE CHỞ NGƯỜI BỐN BÁNH CÓ GẮN ĐỘNG CƠ</w:t>
      </w:r>
      <w:r>
        <w:rPr/>
        <w:br/>
      </w:r>
      <w:r>
        <w:rPr>
          <w:i/>
        </w:rPr>
        <w:t xml:space="preserve">(Ban hành kèm theo Thông tư số 86/2014/TT-BGTVT ngày 31 tháng 12 năm 2014 của Bộ trưởng Bộ Giao thông vận tải)</w:t>
      </w:r>
    </w:p>
    <w:p>
      <w:pPr>
        <w:pStyle w:val="Normal(Web)"/>
        <w:divId w:val="471"/>
        <w:jc w:val="center"/>
        <w:rPr>
          <w:vanish w:val="0"/>
        </w:rPr>
      </w:pPr>
      <w:r>
        <w:rPr>
          <w:b/>
        </w:rPr>
        <w:t xml:space="preserve">BẢN ĐĂNG KÝ THÔNG SỐ KỸ THUẬT </w:t>
      </w:r>
      <w:r>
        <w:rPr>
          <w:b/>
        </w:rPr>
        <w:br/>
      </w:r>
      <w:r>
        <w:rPr>
          <w:b/>
        </w:rPr>
        <w:t xml:space="preserve">XE CHỞ NGƯỜI BỐN BÁNH CÓ GẮN ĐỘNG CƠ</w:t>
      </w:r>
    </w:p>
    <w:p>
      <w:pPr>
        <w:pStyle w:val="Normal(Web)"/>
        <w:divId w:val="472"/>
        <w:jc w:val="center"/>
        <w:rPr>
          <w:vanish w:val="0"/>
        </w:rPr>
      </w:pPr>
      <w:r>
        <w:rPr>
          <w:i/>
        </w:rPr>
        <w:t xml:space="preserve">(Specification Document)</w:t>
      </w:r>
    </w:p>
    <w:p>
      <w:pPr>
        <w:pStyle w:val="Normal(Web)"/>
        <w:divId w:val="473"/>
        <w:rPr>
          <w:vanish w:val="0"/>
        </w:rPr>
      </w:pPr>
      <w:r>
        <w:rPr>
          <w:b/>
        </w:rPr>
        <w:t xml:space="preserve">A. THÔNG TIN CH</w:t>
      </w:r>
      <w:r>
        <w:rPr>
          <w:b/>
        </w:rPr>
        <w:t xml:space="preserve">U</w:t>
      </w:r>
      <w:r>
        <w:rPr>
          <w:b/>
        </w:rPr>
        <w:t xml:space="preserve">NG </w:t>
      </w:r>
      <w:r>
        <w:rPr>
          <w:b/>
          <w:i/>
        </w:rPr>
        <w:t xml:space="preserve">(General </w:t>
      </w:r>
      <w:r>
        <w:rPr>
          <w:b/>
          <w:i/>
        </w:rPr>
        <w:t xml:space="preserve">i</w:t>
      </w:r>
      <w:r>
        <w:rPr>
          <w:b/>
          <w:i/>
        </w:rPr>
        <w:t xml:space="preserve">n</w:t>
      </w:r>
      <w:r>
        <w:rPr>
          <w:b/>
          <w:i/>
        </w:rPr>
        <w:t xml:space="preserve">formation)</w:t>
      </w:r>
    </w:p>
    <w:p>
      <w:pPr>
        <w:pStyle w:val="Normal(Web)"/>
        <w:divId w:val="474"/>
        <w:rPr>
          <w:vanish w:val="0"/>
        </w:rPr>
      </w:pPr>
      <w:r>
        <w:t xml:space="preserve">1. Cơ sở sản xuất/ Cơ sở nhập khẩu </w:t>
      </w:r>
      <w:r>
        <w:rPr>
          <w:i/>
        </w:rPr>
        <w:t xml:space="preserve">(Manufacturer/I</w:t>
      </w:r>
      <w:r>
        <w:rPr>
          <w:i/>
        </w:rPr>
        <w:t xml:space="preserve">mporter)</w:t>
      </w:r>
      <w:r>
        <w:t xml:space="preserve">:</w:t>
      </w:r>
    </w:p>
    <w:p>
      <w:pPr>
        <w:pStyle w:val="Normal(Web)"/>
        <w:divId w:val="475"/>
        <w:rPr>
          <w:vanish w:val="0"/>
        </w:rPr>
      </w:pPr>
      <w:r>
        <w:t xml:space="preserve">2. Địa ch</w:t>
      </w:r>
      <w:r>
        <w:t xml:space="preserve">ỉ </w:t>
      </w:r>
      <w:r>
        <w:rPr>
          <w:i/>
        </w:rPr>
        <w:t xml:space="preserve">(Address):</w:t>
      </w:r>
    </w:p>
    <w:p>
      <w:pPr>
        <w:pStyle w:val="Normal(Web)"/>
        <w:divId w:val="476"/>
        <w:rPr>
          <w:vanish w:val="0"/>
        </w:rPr>
      </w:pPr>
      <w:r>
        <w:t xml:space="preserve">3. Nhãn hiệu </w:t>
      </w:r>
      <w:r>
        <w:rPr>
          <w:i/>
        </w:rPr>
        <w:t xml:space="preserve">(Mark/Make)</w:t>
      </w:r>
      <w:r>
        <w:t xml:space="preserve">:</w:t>
      </w:r>
    </w:p>
    <w:p>
      <w:pPr>
        <w:pStyle w:val="Normal(Web)"/>
        <w:divId w:val="477"/>
        <w:rPr>
          <w:vanish w:val="0"/>
        </w:rPr>
      </w:pPr>
      <w:r>
        <w:t xml:space="preserve">4. Số loại </w:t>
      </w:r>
      <w:r>
        <w:rPr>
          <w:i/>
        </w:rPr>
        <w:t xml:space="preserve">(Model code)</w:t>
      </w:r>
      <w:r>
        <w:t xml:space="preserve">:</w:t>
      </w:r>
    </w:p>
    <w:p>
      <w:pPr>
        <w:pStyle w:val="Normal(Web)"/>
        <w:divId w:val="478"/>
        <w:rPr>
          <w:vanish w:val="0"/>
        </w:rPr>
      </w:pPr>
      <w:r>
        <w:t xml:space="preserve">5. Loại xe </w:t>
      </w:r>
      <w:r>
        <w:rPr>
          <w:i/>
        </w:rPr>
        <w:t xml:space="preserve">(Vehi</w:t>
      </w:r>
      <w:r>
        <w:rPr>
          <w:i/>
        </w:rPr>
        <w:t xml:space="preserve">c</w:t>
      </w:r>
      <w:r>
        <w:rPr>
          <w:i/>
        </w:rPr>
        <w:t xml:space="preserve">l</w:t>
      </w:r>
      <w:r>
        <w:rPr>
          <w:i/>
        </w:rPr>
        <w:t xml:space="preserve">e's type</w:t>
      </w:r>
      <w:r>
        <w:t xml:space="preserve">):</w:t>
      </w:r>
    </w:p>
    <w:p>
      <w:pPr>
        <w:pStyle w:val="Normal(Web)"/>
        <w:divId w:val="479"/>
        <w:rPr>
          <w:vanish w:val="0"/>
        </w:rPr>
      </w:pPr>
      <w:r>
        <w:t xml:space="preserve">6. Mục đích sử dụng </w:t>
      </w:r>
      <w:r>
        <w:rPr>
          <w:i/>
        </w:rPr>
        <w:t xml:space="preserve">(Using purpose):</w:t>
      </w:r>
    </w:p>
    <w:p>
      <w:pPr>
        <w:pStyle w:val="Normal(Web)"/>
        <w:divId w:val="480"/>
        <w:rPr>
          <w:vanish w:val="0"/>
        </w:rPr>
      </w:pPr>
      <w:r>
        <w:t xml:space="preserve">7. Tình trạng phương tiện </w:t>
      </w:r>
      <w:r>
        <w:rPr>
          <w:i/>
        </w:rPr>
        <w:t xml:space="preserve">(Vehicle's st</w:t>
      </w:r>
      <w:r>
        <w:rPr>
          <w:i/>
        </w:rPr>
        <w:t xml:space="preserve">atus</w:t>
      </w:r>
      <w:r>
        <w:rPr>
          <w:i/>
        </w:rPr>
        <w:t xml:space="preserve">)</w:t>
      </w:r>
      <w:r>
        <w:rPr>
          <w:vertAlign w:val="superscript"/>
        </w:rPr>
        <w:t xml:space="preserve">(1)</w:t>
      </w:r>
      <w:r>
        <w:t xml:space="preserve">:</w:t>
      </w:r>
    </w:p>
    <w:p>
      <w:pPr>
        <w:pStyle w:val="Normal(Web)"/>
        <w:divId w:val="481"/>
        <w:rPr>
          <w:vanish w:val="0"/>
        </w:rPr>
      </w:pPr>
      <w:r>
        <w:t xml:space="preserve">8. Nước sản xuất </w:t>
      </w:r>
      <w:r>
        <w:rPr>
          <w:i/>
        </w:rPr>
        <w:t xml:space="preserve">(Production country)</w:t>
      </w:r>
      <w:r>
        <w:rPr>
          <w:vertAlign w:val="superscript"/>
        </w:rPr>
        <w:t xml:space="preserve">(1)</w:t>
      </w:r>
      <w:r>
        <w:t xml:space="preserve">:</w:t>
      </w:r>
    </w:p>
    <w:p>
      <w:pPr>
        <w:pStyle w:val="Normal(Web)"/>
        <w:divId w:val="482"/>
        <w:rPr>
          <w:vanish w:val="0"/>
        </w:rPr>
      </w:pPr>
      <w:r>
        <w:t xml:space="preserve">9. Năm sản xuất </w:t>
      </w:r>
      <w:r>
        <w:rPr>
          <w:i/>
        </w:rPr>
        <w:t xml:space="preserve">(</w:t>
      </w:r>
      <w:r>
        <w:rPr>
          <w:i/>
        </w:rPr>
        <w:t xml:space="preserve">Produc</w:t>
      </w:r>
      <w:r>
        <w:rPr>
          <w:i/>
        </w:rPr>
        <w:t xml:space="preserve">t</w:t>
      </w:r>
      <w:r>
        <w:rPr>
          <w:i/>
        </w:rPr>
        <w:t xml:space="preserve">ion year)</w:t>
      </w:r>
      <w:r>
        <w:rPr>
          <w:vertAlign w:val="superscript"/>
        </w:rPr>
        <w:t xml:space="preserve">(1)</w:t>
      </w:r>
      <w:r>
        <w:t xml:space="preserve">:</w:t>
      </w:r>
    </w:p>
    <w:p>
      <w:pPr>
        <w:pStyle w:val="Normal(Web)"/>
        <w:divId w:val="483"/>
        <w:rPr>
          <w:vanish w:val="0"/>
        </w:rPr>
      </w:pPr>
      <w:r>
        <w:rPr>
          <w:b/>
        </w:rPr>
        <w:t xml:space="preserve">B. CÁC THÔNG SỐ VÀ TÍNH NĂNG KỸ THUẬT CƠ BẢN</w:t>
      </w:r>
      <w:r>
        <w:t xml:space="preserve"> </w:t>
      </w:r>
      <w:r>
        <w:rPr>
          <w:i/>
        </w:rPr>
        <w:t xml:space="preserve">(Specification andfeature)</w:t>
      </w:r>
    </w:p>
    <w:p>
      <w:pPr>
        <w:pStyle w:val="Normal(Web)"/>
        <w:divId w:val="484"/>
        <w:rPr>
          <w:vanish w:val="0"/>
        </w:rPr>
      </w:pPr>
      <w:r>
        <w:rPr>
          <w:b/>
        </w:rPr>
        <w:t xml:space="preserve">1. Ảnh chụp kiểu dáng</w:t>
      </w:r>
      <w:r>
        <w:rPr>
          <w:i/>
        </w:rPr>
        <w:t xml:space="preserve">(Pho</w:t>
      </w:r>
      <w:r>
        <w:rPr>
          <w:i/>
        </w:rPr>
        <w:t xml:space="preserve">t</w:t>
      </w:r>
      <w:r>
        <w:rPr>
          <w:i/>
        </w:rPr>
        <w:t xml:space="preserve">os of</w:t>
      </w:r>
      <w:r>
        <w:rPr>
          <w:i/>
        </w:rPr>
        <w:t xml:space="preserve">a typical vehicle) </w:t>
      </w:r>
      <w:r>
        <w:rPr>
          <w:i/>
          <w:vertAlign w:val="superscript"/>
        </w:rPr>
        <w:t xml:space="preserve">(2)</w:t>
      </w:r>
      <w:r>
        <w:t xml:space="preserve">:</w:t>
      </w:r>
    </w:p>
    <w:p>
      <w:pPr>
        <w:pStyle w:val="Normal(Web)"/>
        <w:divId w:val="485"/>
        <w:rPr>
          <w:vanish w:val="0"/>
        </w:rPr>
      </w:pPr>
      <w:r>
        <w:rPr>
          <w:b/>
        </w:rPr>
        <w:t xml:space="preserve">2. Bản thuyết minh phương pháp và vị trí đóng số khung, số</w:t>
      </w:r>
      <w:r>
        <w:rPr>
          <w:b/>
        </w:rPr>
        <w:t xml:space="preserve">đ</w:t>
      </w:r>
      <w:r>
        <w:rPr>
          <w:b/>
        </w:rPr>
        <w:t xml:space="preserve">ộ</w:t>
      </w:r>
      <w:r>
        <w:rPr>
          <w:b/>
        </w:rPr>
        <w:t xml:space="preserve">ng cơ</w:t>
      </w:r>
      <w:r>
        <w:rPr>
          <w:i/>
        </w:rPr>
        <w:t xml:space="preserve">(Descr</w:t>
      </w:r>
      <w:r>
        <w:rPr>
          <w:i/>
        </w:rPr>
        <w:t xml:space="preserve">i</w:t>
      </w:r>
      <w:r>
        <w:rPr>
          <w:i/>
        </w:rPr>
        <w:t xml:space="preserve">ption of method and loca</w:t>
      </w:r>
      <w:r>
        <w:rPr>
          <w:i/>
        </w:rPr>
        <w:t xml:space="preserve">t</w:t>
      </w:r>
      <w:r>
        <w:rPr>
          <w:i/>
        </w:rPr>
        <w:t xml:space="preserve">ion made chass</w:t>
      </w:r>
      <w:r>
        <w:rPr>
          <w:i/>
        </w:rPr>
        <w:t xml:space="preserve">i</w:t>
      </w:r>
      <w:r>
        <w:rPr>
          <w:i/>
        </w:rPr>
        <w:t xml:space="preserve">s number and engine number) </w:t>
      </w:r>
      <w:r>
        <w:rPr>
          <w:i/>
          <w:vertAlign w:val="superscript"/>
        </w:rPr>
        <w:t xml:space="preserve">(</w:t>
      </w:r>
      <w:r>
        <w:rPr>
          <w:i/>
          <w:vertAlign w:val="superscript"/>
        </w:rPr>
        <w:t xml:space="preserve">2</w:t>
      </w:r>
      <w:r>
        <w:rPr>
          <w:i/>
          <w:vertAlign w:val="superscript"/>
        </w:rPr>
        <w:t xml:space="preserve">)</w:t>
      </w:r>
      <w:r>
        <w:t xml:space="preserve">:</w:t>
      </w:r>
    </w:p>
    <w:p>
      <w:pPr>
        <w:pStyle w:val="Normal(Web)"/>
        <w:divId w:val="486"/>
        <w:rPr>
          <w:vanish w:val="0"/>
        </w:rPr>
      </w:pPr>
      <w:r>
        <w:rPr>
          <w:b/>
        </w:rPr>
        <w:t xml:space="preserve">3. S</w:t>
      </w:r>
      <w:r>
        <w:rPr>
          <w:b/>
        </w:rPr>
        <w:t xml:space="preserve">ố</w:t>
      </w:r>
      <w:r>
        <w:rPr>
          <w:b/>
        </w:rPr>
        <w:t xml:space="preserve"> ng</w:t>
      </w:r>
      <w:r>
        <w:rPr>
          <w:b/>
        </w:rPr>
        <w:t xml:space="preserve">ườ</w:t>
      </w:r>
      <w:r>
        <w:rPr>
          <w:b/>
        </w:rPr>
        <w:t xml:space="preserve">i cho phép chở, kể cả ng</w:t>
      </w:r>
      <w:r>
        <w:rPr>
          <w:b/>
        </w:rPr>
        <w:t xml:space="preserve">ườ</w:t>
      </w:r>
      <w:r>
        <w:rPr>
          <w:b/>
        </w:rPr>
        <w:t xml:space="preserve">i lái</w:t>
      </w:r>
      <w:r>
        <w:rPr>
          <w:i/>
        </w:rPr>
        <w:t xml:space="preserve">(Seating capacity, including driver)</w:t>
      </w:r>
      <w:r>
        <w:t xml:space="preserve">: (người/</w:t>
      </w:r>
      <w:r>
        <w:rPr>
          <w:i/>
        </w:rPr>
        <w:t xml:space="preserve">person</w:t>
      </w:r>
      <w:r>
        <w:t xml:space="preserve">)</w:t>
      </w:r>
    </w:p>
    <w:p>
      <w:pPr>
        <w:pStyle w:val="Normal(Web)"/>
        <w:divId w:val="487"/>
        <w:rPr>
          <w:vanish w:val="0"/>
        </w:rPr>
      </w:pPr>
      <w:r>
        <w:rPr>
          <w:b/>
        </w:rPr>
        <w:t xml:space="preserve">4. Vận tốc lớn nhất</w:t>
      </w:r>
      <w:r>
        <w:t xml:space="preserve"> </w:t>
      </w:r>
      <w:r>
        <w:rPr>
          <w:i/>
        </w:rPr>
        <w:t xml:space="preserve">(Maximum speed)</w:t>
      </w:r>
      <w:r>
        <w:t xml:space="preserve">: km/h</w:t>
      </w:r>
    </w:p>
    <w:p>
      <w:pPr>
        <w:pStyle w:val="Normal(Web)"/>
        <w:divId w:val="488"/>
        <w:rPr>
          <w:vanish w:val="0"/>
        </w:rPr>
      </w:pPr>
      <w:r>
        <w:rPr>
          <w:b/>
        </w:rPr>
        <w:t xml:space="preserve">5. Khả năng leo dốc khi đầy tải</w:t>
      </w:r>
      <w:r>
        <w:t xml:space="preserve"> </w:t>
      </w:r>
      <w:r>
        <w:rPr>
          <w:i/>
        </w:rPr>
        <w:t xml:space="preserve">(Hill driving abili</w:t>
      </w:r>
      <w:r>
        <w:rPr>
          <w:i/>
        </w:rPr>
        <w:t xml:space="preserve">ty)</w:t>
      </w:r>
      <w:r>
        <w:t xml:space="preserve">: %</w:t>
      </w:r>
    </w:p>
    <w:p>
      <w:pPr>
        <w:pStyle w:val="Normal(Web)"/>
        <w:divId w:val="489"/>
        <w:rPr>
          <w:vanish w:val="0"/>
        </w:rPr>
      </w:pPr>
      <w:r>
        <w:rPr>
          <w:b/>
        </w:rPr>
        <w:t xml:space="preserve">6. Qu</w:t>
      </w:r>
      <w:r>
        <w:rPr>
          <w:b/>
        </w:rPr>
        <w:t xml:space="preserve">ã</w:t>
      </w:r>
      <w:r>
        <w:rPr>
          <w:b/>
        </w:rPr>
        <w:t xml:space="preserve">ng đường đi </w:t>
      </w:r>
      <w:r>
        <w:rPr>
          <w:b/>
        </w:rPr>
        <w:t xml:space="preserve">đ</w:t>
      </w:r>
      <w:r>
        <w:rPr>
          <w:b/>
        </w:rPr>
        <w:t xml:space="preserve">ược</w:t>
      </w:r>
      <w:r>
        <w:rPr>
          <w:i/>
        </w:rPr>
        <w:t xml:space="preserve">(L</w:t>
      </w:r>
      <w:r>
        <w:rPr>
          <w:i/>
        </w:rPr>
        <w:t xml:space="preserve">i</w:t>
      </w:r>
      <w:r>
        <w:rPr>
          <w:i/>
        </w:rPr>
        <w:t xml:space="preserve">mited driving distance</w:t>
      </w:r>
      <w:r>
        <w:rPr>
          <w:i/>
        </w:rPr>
        <w:t xml:space="preserve">)</w:t>
      </w:r>
      <w:r>
        <w:rPr>
          <w:vertAlign w:val="superscript"/>
        </w:rPr>
        <w:t xml:space="preserve">(3),(4)</w:t>
      </w:r>
      <w:r>
        <w:t xml:space="preserve">: km</w:t>
      </w:r>
    </w:p>
    <w:p>
      <w:pPr>
        <w:pStyle w:val="Normal(Web)"/>
        <w:divId w:val="490"/>
        <w:rPr>
          <w:vanish w:val="0"/>
        </w:rPr>
      </w:pPr>
      <w:r>
        <w:rPr>
          <w:b/>
        </w:rPr>
        <w:t xml:space="preserve">7. Khối lượng </w:t>
      </w:r>
      <w:r>
        <w:rPr>
          <w:b/>
          <w:i/>
        </w:rPr>
        <w:t xml:space="preserve">(mass)</w:t>
      </w:r>
      <w:r>
        <w:rPr>
          <w:b/>
        </w:rPr>
        <w:t xml:space="preserve">:</w:t>
      </w:r>
    </w:p>
    <w:p>
      <w:pPr>
        <w:pStyle w:val="Normal(Web)"/>
        <w:divId w:val="491"/>
        <w:rPr>
          <w:vanish w:val="0"/>
        </w:rPr>
      </w:pPr>
      <w:r>
        <w:t xml:space="preserve">7.1. Khối l</w:t>
      </w:r>
      <w:r>
        <w:t xml:space="preserve">ượ</w:t>
      </w:r>
      <w:r>
        <w:t xml:space="preserve">ng bản thân </w:t>
      </w:r>
      <w:r>
        <w:rPr>
          <w:i/>
        </w:rPr>
        <w:t xml:space="preserve">(Kerb mass)</w:t>
      </w:r>
      <w:r>
        <w:t xml:space="preserve">: kg</w:t>
      </w:r>
    </w:p>
    <w:p>
      <w:pPr>
        <w:pStyle w:val="Normal(Web)"/>
        <w:divId w:val="492"/>
        <w:rPr>
          <w:vanish w:val="0"/>
        </w:rPr>
      </w:pPr>
      <w:r>
        <w:t xml:space="preserve">7.1.1. Phân bố lên trục 1 </w:t>
      </w:r>
      <w:r>
        <w:rPr>
          <w:i/>
        </w:rPr>
        <w:t xml:space="preserve">(Axle 1</w:t>
      </w:r>
      <w:r>
        <w:rPr>
          <w:i/>
        </w:rPr>
        <w:t xml:space="preserve">s</w:t>
      </w:r>
      <w:r>
        <w:rPr>
          <w:i/>
        </w:rPr>
        <w:t xml:space="preserve">t</w:t>
      </w:r>
      <w:r>
        <w:rPr>
          <w:i/>
        </w:rPr>
        <w:t xml:space="preserve">)</w:t>
      </w:r>
      <w:r>
        <w:rPr>
          <w:i/>
          <w:vertAlign w:val="superscript"/>
        </w:rPr>
        <w:t xml:space="preserve">(4)</w:t>
      </w:r>
      <w:r>
        <w:t xml:space="preserve">: kg</w:t>
      </w:r>
    </w:p>
    <w:p>
      <w:pPr>
        <w:pStyle w:val="Normal(Web)"/>
        <w:divId w:val="493"/>
        <w:rPr>
          <w:vanish w:val="0"/>
        </w:rPr>
      </w:pPr>
      <w:r>
        <w:t xml:space="preserve">7.1.2. Phân bố lên trục 2 </w:t>
      </w:r>
      <w:r>
        <w:rPr>
          <w:i/>
        </w:rPr>
        <w:t xml:space="preserve">(Axle 2nd)</w:t>
      </w:r>
      <w:r>
        <w:rPr>
          <w:i/>
          <w:vertAlign w:val="superscript"/>
        </w:rPr>
        <w:t xml:space="preserve">(4)</w:t>
      </w:r>
      <w:r>
        <w:t xml:space="preserve">: kg</w:t>
      </w:r>
    </w:p>
    <w:p>
      <w:pPr>
        <w:pStyle w:val="Normal(Web)"/>
        <w:divId w:val="494"/>
        <w:rPr>
          <w:vanish w:val="0"/>
        </w:rPr>
      </w:pPr>
      <w:r>
        <w:t xml:space="preserve">7.2. Khối lượng toàn bộ </w:t>
      </w:r>
      <w:r>
        <w:rPr>
          <w:i/>
        </w:rPr>
        <w:t xml:space="preserve">(Gross mass)</w:t>
      </w:r>
      <w:r>
        <w:t xml:space="preserve">: kg</w:t>
      </w:r>
    </w:p>
    <w:p>
      <w:pPr>
        <w:pStyle w:val="Normal(Web)"/>
        <w:divId w:val="495"/>
        <w:rPr>
          <w:vanish w:val="0"/>
        </w:rPr>
      </w:pPr>
      <w:r>
        <w:t xml:space="preserve">7.2.1. Phân bố lên trục 1 </w:t>
      </w:r>
      <w:r>
        <w:rPr>
          <w:i/>
        </w:rPr>
        <w:t xml:space="preserve">(Axl</w:t>
      </w:r>
      <w:r>
        <w:rPr>
          <w:i/>
        </w:rPr>
        <w:t xml:space="preserve">e </w:t>
      </w:r>
      <w:r>
        <w:rPr>
          <w:i/>
        </w:rPr>
        <w:t xml:space="preserve">1</w:t>
      </w:r>
      <w:r>
        <w:rPr>
          <w:i/>
        </w:rPr>
        <w:t xml:space="preserve">s</w:t>
      </w:r>
      <w:r>
        <w:rPr>
          <w:i/>
        </w:rPr>
        <w:t xml:space="preserve">t</w:t>
      </w:r>
      <w:r>
        <w:rPr>
          <w:i/>
        </w:rPr>
        <w:t xml:space="preserve">)</w:t>
      </w:r>
      <w:r>
        <w:rPr>
          <w:i/>
          <w:vertAlign w:val="superscript"/>
        </w:rPr>
        <w:t xml:space="preserve">(4)</w:t>
      </w:r>
      <w:r>
        <w:t xml:space="preserve">: kg</w:t>
      </w:r>
    </w:p>
    <w:p>
      <w:pPr>
        <w:pStyle w:val="Normal(Web)"/>
        <w:divId w:val="496"/>
        <w:rPr>
          <w:vanish w:val="0"/>
        </w:rPr>
      </w:pPr>
      <w:r>
        <w:t xml:space="preserve">7.2.2. Phân bố lên trục 2 </w:t>
      </w:r>
      <w:r>
        <w:rPr>
          <w:i/>
        </w:rPr>
        <w:t xml:space="preserve">(Axle 2</w:t>
      </w:r>
      <w:r>
        <w:rPr>
          <w:i/>
          <w:vertAlign w:val="superscript"/>
        </w:rPr>
        <w:t xml:space="preserve">nd</w:t>
      </w:r>
      <w:r>
        <w:rPr>
          <w:i/>
        </w:rPr>
        <w:t xml:space="preserve">) </w:t>
      </w:r>
      <w:r>
        <w:rPr>
          <w:i/>
          <w:vertAlign w:val="superscript"/>
        </w:rPr>
        <w:t xml:space="preserve">(4)</w:t>
      </w:r>
      <w:r>
        <w:t xml:space="preserve">: kg</w:t>
      </w:r>
    </w:p>
    <w:p>
      <w:pPr>
        <w:pStyle w:val="Normal(Web)"/>
        <w:divId w:val="497"/>
        <w:rPr>
          <w:vanish w:val="0"/>
        </w:rPr>
      </w:pPr>
      <w:r>
        <w:rPr>
          <w:b/>
        </w:rPr>
        <w:t xml:space="preserve">8. Kích thước</w:t>
      </w:r>
      <w:r>
        <w:t xml:space="preserve"> </w:t>
      </w:r>
      <w:r>
        <w:rPr>
          <w:b/>
          <w:i/>
        </w:rPr>
        <w:t xml:space="preserve">(Dimension)</w:t>
      </w:r>
    </w:p>
    <w:p>
      <w:pPr>
        <w:pStyle w:val="Normal(Web)"/>
        <w:divId w:val="498"/>
        <w:rPr>
          <w:vanish w:val="0"/>
        </w:rPr>
      </w:pPr>
      <w:r>
        <w:t xml:space="preserve">8.1. Kích thước bao: dài x rộng x cao </w:t>
      </w:r>
      <w:r>
        <w:rPr>
          <w:i/>
        </w:rPr>
        <w:t xml:space="preserve">(Overall dimensions Lx</w:t>
      </w:r>
      <w:r>
        <w:rPr>
          <w:i/>
        </w:rPr>
        <w:t xml:space="preserve">W</w:t>
      </w:r>
      <w:r>
        <w:rPr>
          <w:i/>
        </w:rPr>
        <w:t xml:space="preserve">x</w:t>
      </w:r>
      <w:r>
        <w:rPr>
          <w:i/>
        </w:rPr>
        <w:t xml:space="preserve">H)</w:t>
      </w:r>
      <w:r>
        <w:t xml:space="preserve">: mm</w:t>
      </w:r>
    </w:p>
    <w:p>
      <w:pPr>
        <w:pStyle w:val="Normal(Web)"/>
        <w:divId w:val="499"/>
        <w:rPr>
          <w:vanish w:val="0"/>
        </w:rPr>
      </w:pPr>
      <w:r>
        <w:t xml:space="preserve">8.2. Chiều dài cơ sở </w:t>
      </w:r>
      <w:r>
        <w:rPr>
          <w:i/>
        </w:rPr>
        <w:t xml:space="preserve">(Wheel</w:t>
      </w:r>
      <w:r>
        <w:rPr>
          <w:i/>
        </w:rPr>
        <w:t xml:space="preserve"> base)</w:t>
      </w:r>
      <w:r>
        <w:t xml:space="preserve">: mm</w:t>
      </w:r>
    </w:p>
    <w:p>
      <w:pPr>
        <w:pStyle w:val="Normal(Web)"/>
        <w:divId w:val="500"/>
        <w:rPr>
          <w:vanish w:val="0"/>
        </w:rPr>
      </w:pPr>
      <w:r>
        <w:t xml:space="preserve">8.3. Vết bánh xe trước/sau </w:t>
      </w:r>
      <w:r>
        <w:rPr>
          <w:i/>
        </w:rPr>
        <w:t xml:space="preserve">(Track Front/Rear)</w:t>
      </w:r>
      <w:r>
        <w:rPr>
          <w:i/>
          <w:vertAlign w:val="superscript"/>
        </w:rPr>
        <w:t xml:space="preserve">(4)</w:t>
      </w:r>
      <w:r>
        <w:t xml:space="preserve">: mm</w:t>
      </w:r>
    </w:p>
    <w:p>
      <w:pPr>
        <w:pStyle w:val="Normal(Web)"/>
        <w:divId w:val="501"/>
        <w:rPr>
          <w:vanish w:val="0"/>
        </w:rPr>
      </w:pPr>
      <w:r>
        <w:rPr>
          <w:b/>
        </w:rPr>
        <w:t xml:space="preserve">9. Động cơ </w:t>
      </w:r>
      <w:r>
        <w:rPr>
          <w:b/>
          <w:i/>
        </w:rPr>
        <w:t xml:space="preserve">(Engine)</w:t>
      </w:r>
    </w:p>
    <w:p>
      <w:pPr>
        <w:pStyle w:val="Normal(Web)"/>
        <w:divId w:val="502"/>
        <w:rPr>
          <w:vanish w:val="0"/>
        </w:rPr>
      </w:pPr>
      <w:r>
        <w:t xml:space="preserve">9.1. Nhãn hiệu và số loại</w:t>
      </w:r>
      <w:r>
        <w:rPr>
          <w:i/>
        </w:rPr>
        <w:t xml:space="preserve">(Mark and Mode</w:t>
      </w:r>
      <w:r>
        <w:rPr>
          <w:i/>
        </w:rPr>
        <w:t xml:space="preserve">l</w:t>
      </w:r>
      <w:r>
        <w:rPr>
          <w:i/>
        </w:rPr>
        <w:t xml:space="preserve">)</w:t>
      </w:r>
      <w:r>
        <w:t xml:space="preserve">:</w:t>
      </w:r>
    </w:p>
    <w:p>
      <w:pPr>
        <w:pStyle w:val="Normal(Web)"/>
        <w:divId w:val="503"/>
        <w:rPr>
          <w:vanish w:val="0"/>
        </w:rPr>
      </w:pPr>
      <w:r>
        <w:t xml:space="preserve">9.2. </w:t>
      </w:r>
      <w:r>
        <w:rPr>
          <w:b/>
        </w:rPr>
        <w:t xml:space="preserve">Động cơ đốt trong </w:t>
      </w:r>
      <w:r>
        <w:rPr>
          <w:b/>
          <w:i/>
        </w:rPr>
        <w:t xml:space="preserve">(Internal combustion engi</w:t>
      </w:r>
      <w:r>
        <w:rPr>
          <w:b/>
          <w:i/>
        </w:rPr>
        <w:t xml:space="preserve">ne)</w:t>
      </w:r>
    </w:p>
    <w:p>
      <w:pPr>
        <w:pStyle w:val="Normal(Web)"/>
        <w:divId w:val="504"/>
        <w:rPr>
          <w:vanish w:val="0"/>
        </w:rPr>
      </w:pPr>
      <w:r>
        <w:t xml:space="preserve">9.2.1. Loại động cơ </w:t>
      </w:r>
      <w:r>
        <w:rPr>
          <w:i/>
        </w:rPr>
        <w:t xml:space="preserve">(Type):</w:t>
      </w:r>
    </w:p>
    <w:p>
      <w:pPr>
        <w:pStyle w:val="Normal(Web)"/>
        <w:divId w:val="505"/>
        <w:rPr>
          <w:vanish w:val="0"/>
        </w:rPr>
      </w:pPr>
      <w:r>
        <w:t xml:space="preserve">9.2.2. Thể tích làm việc </w:t>
      </w:r>
      <w:r>
        <w:rPr>
          <w:i/>
        </w:rPr>
        <w:t xml:space="preserve">(Displacement)</w:t>
      </w:r>
      <w:r>
        <w:t xml:space="preserve">: cm</w:t>
      </w:r>
      <w:r>
        <w:rPr>
          <w:vertAlign w:val="superscript"/>
        </w:rPr>
        <w:t xml:space="preserve">3</w:t>
      </w:r>
    </w:p>
    <w:p>
      <w:pPr>
        <w:pStyle w:val="Normal(Web)"/>
        <w:divId w:val="506"/>
        <w:rPr>
          <w:vanish w:val="0"/>
        </w:rPr>
      </w:pPr>
      <w:r>
        <w:t xml:space="preserve">9.2.3. Tốc độ quay không tải </w:t>
      </w:r>
      <w:r>
        <w:rPr>
          <w:i/>
        </w:rPr>
        <w:t xml:space="preserve">(Idling speed)</w:t>
      </w:r>
      <w:r>
        <w:rPr>
          <w:i/>
          <w:vertAlign w:val="superscript"/>
        </w:rPr>
        <w:t xml:space="preserve">(4)</w:t>
      </w:r>
      <w:r>
        <w:t xml:space="preserve">: r/min</w:t>
      </w:r>
    </w:p>
    <w:p>
      <w:pPr>
        <w:pStyle w:val="Normal(Web)"/>
        <w:divId w:val="507"/>
        <w:rPr>
          <w:vanish w:val="0"/>
        </w:rPr>
      </w:pPr>
      <w:r>
        <w:t xml:space="preserve">9.2.4. Công suất lớn nhất/ tốc độ quay </w:t>
      </w:r>
      <w:r>
        <w:rPr>
          <w:i/>
        </w:rPr>
        <w:t xml:space="preserve">(Max output/rpm)</w:t>
      </w:r>
      <w:r>
        <w:t xml:space="preserve">: kW/r/min</w:t>
      </w:r>
    </w:p>
    <w:p>
      <w:pPr>
        <w:pStyle w:val="Normal(Web)"/>
        <w:divId w:val="508"/>
        <w:rPr>
          <w:vanish w:val="0"/>
        </w:rPr>
      </w:pPr>
      <w:r>
        <w:t xml:space="preserve">9.2.5. Mô men lớn nhất/ tốc độ quay </w:t>
      </w:r>
      <w:r>
        <w:rPr>
          <w:i/>
        </w:rPr>
        <w:t xml:space="preserve">(Max Torque/rpm)</w:t>
      </w:r>
      <w:r>
        <w:rPr>
          <w:i/>
          <w:vertAlign w:val="superscript"/>
        </w:rPr>
        <w:t xml:space="preserve">(4)</w:t>
      </w:r>
      <w:r>
        <w:t xml:space="preserve">: Nm/r/min</w:t>
      </w:r>
    </w:p>
    <w:p>
      <w:pPr>
        <w:pStyle w:val="Normal(Web)"/>
        <w:divId w:val="509"/>
        <w:rPr>
          <w:vanish w:val="0"/>
        </w:rPr>
      </w:pPr>
      <w:r>
        <w:t xml:space="preserve">9.2.6. Loại nhiên liệu </w:t>
      </w:r>
      <w:r>
        <w:rPr>
          <w:i/>
        </w:rPr>
        <w:t xml:space="preserve">(Fuel</w:t>
      </w:r>
      <w:r>
        <w:rPr>
          <w:i/>
        </w:rPr>
        <w:t xml:space="preserve"> kind)</w:t>
      </w:r>
      <w:r>
        <w:t xml:space="preserve">:</w:t>
      </w:r>
    </w:p>
    <w:p>
      <w:pPr>
        <w:pStyle w:val="Normal(Web)"/>
        <w:divId w:val="510"/>
        <w:rPr>
          <w:vanish w:val="0"/>
        </w:rPr>
      </w:pPr>
      <w:r>
        <w:t xml:space="preserve">9.2.7. Cung cấp nhiên liệu </w:t>
      </w:r>
      <w:r>
        <w:rPr>
          <w:i/>
        </w:rPr>
        <w:t xml:space="preserve">(Fuel supply)</w:t>
      </w:r>
      <w:r>
        <w:t xml:space="preserve">: Bằng bộ chế hòa khí/ phun nhiên liệu </w:t>
      </w:r>
      <w:r>
        <w:rPr>
          <w:i/>
        </w:rPr>
        <w:t xml:space="preserve">(Carburettor/Fuel injection)</w:t>
      </w:r>
    </w:p>
    <w:p>
      <w:pPr>
        <w:pStyle w:val="Normal(Web)"/>
        <w:divId w:val="511"/>
        <w:rPr>
          <w:vanish w:val="0"/>
        </w:rPr>
      </w:pPr>
      <w:r>
        <w:rPr>
          <w:b/>
        </w:rPr>
        <w:t xml:space="preserve">9.3. Động cơ điện</w:t>
      </w:r>
      <w:r>
        <w:t xml:space="preserve"> </w:t>
      </w:r>
      <w:r>
        <w:rPr>
          <w:b/>
          <w:i/>
        </w:rPr>
        <w:t xml:space="preserve">(Electric traction motor)</w:t>
      </w:r>
    </w:p>
    <w:p>
      <w:pPr>
        <w:pStyle w:val="Normal(Web)"/>
        <w:divId w:val="512"/>
        <w:rPr>
          <w:vanish w:val="0"/>
        </w:rPr>
      </w:pPr>
      <w:r>
        <w:t xml:space="preserve">9.3.1. Loại động cơ </w:t>
      </w:r>
      <w:r>
        <w:rPr>
          <w:i/>
        </w:rPr>
        <w:t xml:space="preserve">(Type)</w:t>
      </w:r>
      <w:r>
        <w:t xml:space="preserve">:</w:t>
      </w:r>
    </w:p>
    <w:p>
      <w:pPr>
        <w:pStyle w:val="Normal(Web)"/>
        <w:divId w:val="513"/>
        <w:rPr>
          <w:vanish w:val="0"/>
        </w:rPr>
      </w:pPr>
      <w:r>
        <w:t xml:space="preserve">9.3.2. Công suất hữu ích lớn nhất </w:t>
      </w:r>
      <w:r>
        <w:rPr>
          <w:i/>
        </w:rPr>
        <w:t xml:space="preserve">(Maximum continuous ratedpower)</w:t>
      </w:r>
      <w:r>
        <w:t xml:space="preserve">: kW</w:t>
      </w:r>
    </w:p>
    <w:p>
      <w:pPr>
        <w:pStyle w:val="Normal(Web)"/>
        <w:divId w:val="514"/>
        <w:rPr>
          <w:vanish w:val="0"/>
        </w:rPr>
      </w:pPr>
      <w:r>
        <w:t xml:space="preserve">9.3.3. Điện áp danh định </w:t>
      </w:r>
      <w:r>
        <w:rPr>
          <w:i/>
        </w:rPr>
        <w:t xml:space="preserve">(Operati</w:t>
      </w:r>
      <w:r>
        <w:rPr>
          <w:i/>
        </w:rPr>
        <w:t xml:space="preserve">ng vo</w:t>
      </w:r>
      <w:r>
        <w:rPr>
          <w:i/>
        </w:rPr>
        <w:t xml:space="preserve">l</w:t>
      </w:r>
      <w:r>
        <w:rPr>
          <w:i/>
        </w:rPr>
        <w:t xml:space="preserve">tage)</w:t>
      </w:r>
      <w:r>
        <w:t xml:space="preserve">: V</w:t>
      </w:r>
    </w:p>
    <w:p>
      <w:pPr>
        <w:pStyle w:val="Normal(Web)"/>
        <w:divId w:val="515"/>
        <w:rPr>
          <w:vanish w:val="0"/>
        </w:rPr>
      </w:pPr>
      <w:r>
        <w:t xml:space="preserve">9.3.4. Ắcqui </w:t>
      </w:r>
      <w:r>
        <w:rPr>
          <w:i/>
        </w:rPr>
        <w:t xml:space="preserve">(Battery)</w:t>
      </w:r>
      <w:r>
        <w:t xml:space="preserve">:</w:t>
      </w:r>
    </w:p>
    <w:p>
      <w:pPr>
        <w:pStyle w:val="Normal(Web)"/>
        <w:divId w:val="516"/>
        <w:rPr>
          <w:vanish w:val="0"/>
        </w:rPr>
      </w:pPr>
      <w:r>
        <w:t xml:space="preserve">9.3.5. Dung lượng </w:t>
      </w:r>
      <w:r>
        <w:rPr>
          <w:i/>
        </w:rPr>
        <w:t xml:space="preserve">(Capaci</w:t>
      </w:r>
      <w:r>
        <w:rPr>
          <w:i/>
        </w:rPr>
        <w:t xml:space="preserve">ty)</w:t>
      </w:r>
      <w:r>
        <w:t xml:space="preserve">: Ah</w:t>
      </w:r>
    </w:p>
    <w:p>
      <w:pPr>
        <w:pStyle w:val="Normal(Web)"/>
        <w:divId w:val="517"/>
        <w:rPr>
          <w:vanish w:val="0"/>
        </w:rPr>
      </w:pPr>
      <w:r>
        <w:rPr>
          <w:b/>
        </w:rPr>
        <w:t xml:space="preserve">10. Hệ thống truyền lực và chuyển động </w:t>
      </w:r>
      <w:r>
        <w:rPr>
          <w:b/>
          <w:i/>
        </w:rPr>
        <w:t xml:space="preserve">(Transmiss</w:t>
      </w:r>
      <w:r>
        <w:rPr>
          <w:b/>
          <w:i/>
        </w:rPr>
        <w:t xml:space="preserve">i</w:t>
      </w:r>
      <w:r>
        <w:rPr>
          <w:b/>
          <w:i/>
        </w:rPr>
        <w:t xml:space="preserve">on and mot</w:t>
      </w:r>
      <w:r>
        <w:rPr>
          <w:b/>
          <w:i/>
        </w:rPr>
        <w:t xml:space="preserve">ion system)</w:t>
      </w:r>
    </w:p>
    <w:p>
      <w:pPr>
        <w:pStyle w:val="Normal(Web)"/>
        <w:divId w:val="518"/>
        <w:rPr>
          <w:vanish w:val="0"/>
        </w:rPr>
      </w:pPr>
      <w:r>
        <w:t xml:space="preserve">10.1. Ly hợp </w:t>
      </w:r>
      <w:r>
        <w:rPr>
          <w:i/>
        </w:rPr>
        <w:t xml:space="preserve">(Cl</w:t>
      </w:r>
      <w:r>
        <w:rPr>
          <w:i/>
        </w:rPr>
        <w:t xml:space="preserve">utch)</w:t>
      </w:r>
      <w:r>
        <w:t xml:space="preserve">:</w:t>
      </w:r>
    </w:p>
    <w:p>
      <w:pPr>
        <w:pStyle w:val="Normal(Web)"/>
        <w:divId w:val="519"/>
        <w:rPr>
          <w:vanish w:val="0"/>
        </w:rPr>
      </w:pPr>
      <w:r>
        <w:t xml:space="preserve">10.1.1. Kiểu </w:t>
      </w:r>
      <w:r>
        <w:rPr>
          <w:i/>
        </w:rPr>
        <w:t xml:space="preserve">(Type)</w:t>
      </w:r>
      <w:r>
        <w:t xml:space="preserve">:</w:t>
      </w:r>
    </w:p>
    <w:p>
      <w:pPr>
        <w:pStyle w:val="Normal(Web)"/>
        <w:divId w:val="520"/>
        <w:rPr>
          <w:vanish w:val="0"/>
        </w:rPr>
      </w:pPr>
      <w:r>
        <w:t xml:space="preserve">10.1.2. Dẫn động </w:t>
      </w:r>
      <w:r>
        <w:rPr>
          <w:i/>
        </w:rPr>
        <w:t xml:space="preserve">(Actuation</w:t>
      </w:r>
      <w:r>
        <w:rPr>
          <w:i/>
        </w:rPr>
        <w:t xml:space="preserve">)</w:t>
      </w:r>
      <w:r>
        <w:t xml:space="preserve">:</w:t>
      </w:r>
    </w:p>
    <w:p>
      <w:pPr>
        <w:pStyle w:val="Normal(Web)"/>
        <w:divId w:val="521"/>
        <w:rPr>
          <w:vanish w:val="0"/>
        </w:rPr>
      </w:pPr>
      <w:r>
        <w:t xml:space="preserve">10.2. Hộp số chính </w:t>
      </w:r>
      <w:r>
        <w:rPr>
          <w:i/>
        </w:rPr>
        <w:t xml:space="preserve">(Main gearbox)</w:t>
      </w:r>
      <w:r>
        <w:t xml:space="preserve">:</w:t>
      </w:r>
    </w:p>
    <w:p>
      <w:pPr>
        <w:pStyle w:val="Normal(Web)"/>
        <w:divId w:val="522"/>
        <w:rPr>
          <w:vanish w:val="0"/>
        </w:rPr>
      </w:pPr>
      <w:r>
        <w:t xml:space="preserve">10.2.1. Kiểu </w:t>
      </w:r>
      <w:r>
        <w:rPr>
          <w:i/>
        </w:rPr>
        <w:t xml:space="preserve">(Type)</w:t>
      </w:r>
      <w:r>
        <w:t xml:space="preserve">:</w:t>
      </w:r>
    </w:p>
    <w:p>
      <w:pPr>
        <w:pStyle w:val="Normal(Web)"/>
        <w:divId w:val="523"/>
        <w:rPr>
          <w:vanish w:val="0"/>
        </w:rPr>
      </w:pPr>
      <w:r>
        <w:t xml:space="preserve">10.2.2. Điều khiển hộp số </w:t>
      </w:r>
      <w:r>
        <w:rPr>
          <w:i/>
        </w:rPr>
        <w:t xml:space="preserve">(Control</w:t>
      </w:r>
      <w:r>
        <w:rPr>
          <w:i/>
        </w:rPr>
        <w:t xml:space="preserve">)</w:t>
      </w:r>
      <w:r>
        <w:t xml:space="preserve">:</w:t>
      </w:r>
    </w:p>
    <w:p>
      <w:pPr>
        <w:pStyle w:val="Normal(Web)"/>
        <w:divId w:val="524"/>
        <w:rPr>
          <w:vanish w:val="0"/>
        </w:rPr>
      </w:pPr>
      <w:r>
        <w:t xml:space="preserve">10.3. Công thức bánh xe </w:t>
      </w:r>
      <w:r>
        <w:rPr>
          <w:i/>
        </w:rPr>
        <w:t xml:space="preserve">(Wheel f</w:t>
      </w:r>
      <w:r>
        <w:rPr>
          <w:i/>
        </w:rPr>
        <w:t xml:space="preserve">ormu</w:t>
      </w:r>
      <w:r>
        <w:rPr>
          <w:i/>
        </w:rPr>
        <w:t xml:space="preserve">l</w:t>
      </w:r>
      <w:r>
        <w:rPr>
          <w:i/>
        </w:rPr>
        <w:t xml:space="preserve">a)</w:t>
      </w:r>
      <w:r>
        <w:t xml:space="preserve">:</w:t>
      </w:r>
    </w:p>
    <w:p>
      <w:pPr>
        <w:pStyle w:val="Normal(Web)"/>
        <w:divId w:val="525"/>
        <w:rPr>
          <w:vanish w:val="0"/>
        </w:rPr>
      </w:pPr>
      <w:r>
        <w:t xml:space="preserve">10.4. Cầu chủ động </w:t>
      </w:r>
      <w:r>
        <w:rPr>
          <w:i/>
        </w:rPr>
        <w:t xml:space="preserve">(A</w:t>
      </w:r>
      <w:r>
        <w:rPr>
          <w:i/>
        </w:rPr>
        <w:t xml:space="preserve">c</w:t>
      </w:r>
      <w:r>
        <w:rPr>
          <w:i/>
        </w:rPr>
        <w:t xml:space="preserve">t</w:t>
      </w:r>
      <w:r>
        <w:rPr>
          <w:i/>
        </w:rPr>
        <w:t xml:space="preserve">ive ax</w:t>
      </w:r>
      <w:r>
        <w:rPr>
          <w:i/>
        </w:rPr>
        <w:t xml:space="preserve">l</w:t>
      </w:r>
      <w:r>
        <w:rPr>
          <w:i/>
        </w:rPr>
        <w:t xml:space="preserve">e)</w:t>
      </w:r>
      <w:r>
        <w:t xml:space="preserve">:</w:t>
      </w:r>
    </w:p>
    <w:p>
      <w:pPr>
        <w:pStyle w:val="Normal(Web)"/>
        <w:divId w:val="526"/>
        <w:rPr>
          <w:vanish w:val="0"/>
        </w:rPr>
      </w:pPr>
      <w:r>
        <w:t xml:space="preserve">10.5. Lốp xe </w:t>
      </w:r>
      <w:r>
        <w:rPr>
          <w:i/>
        </w:rPr>
        <w:t xml:space="preserve">(Tire)</w:t>
      </w:r>
      <w:r>
        <w:t xml:space="preserve">:</w:t>
      </w:r>
    </w:p>
    <w:p>
      <w:pPr>
        <w:pStyle w:val="Normal(Web)"/>
        <w:divId w:val="527"/>
        <w:rPr>
          <w:vanish w:val="0"/>
        </w:rPr>
      </w:pPr>
      <w:r>
        <w:t xml:space="preserve">10.5.1. Trục 1: Số lượng/cỡ lốp/áp suất </w:t>
      </w:r>
      <w:r>
        <w:rPr>
          <w:i/>
        </w:rPr>
        <w:t xml:space="preserve">(Axle 1</w:t>
      </w:r>
      <w:r>
        <w:rPr>
          <w:i/>
          <w:vertAlign w:val="superscript"/>
        </w:rPr>
        <w:t xml:space="preserve">st</w:t>
      </w:r>
      <w:r>
        <w:rPr>
          <w:i/>
        </w:rPr>
        <w:t xml:space="preserve">: Quantity/tire size/pressures)</w:t>
      </w:r>
      <w:r>
        <w:t xml:space="preserve">:</w:t>
      </w:r>
    </w:p>
    <w:p>
      <w:pPr>
        <w:pStyle w:val="Normal(Web)"/>
        <w:divId w:val="528"/>
        <w:rPr>
          <w:vanish w:val="0"/>
        </w:rPr>
      </w:pPr>
      <w:r>
        <w:t xml:space="preserve">10.5.2. Trục 2: Số lượng/cỡ lốp/áp suất </w:t>
      </w:r>
      <w:r>
        <w:rPr>
          <w:i/>
        </w:rPr>
        <w:t xml:space="preserve">(Axle 2</w:t>
      </w:r>
      <w:r>
        <w:rPr>
          <w:i/>
          <w:vertAlign w:val="superscript"/>
        </w:rPr>
        <w:t xml:space="preserve">nd</w:t>
      </w:r>
      <w:r>
        <w:rPr>
          <w:i/>
        </w:rPr>
        <w:t xml:space="preserve">: Quantity/tire size/presures)</w:t>
      </w:r>
      <w:r>
        <w:t xml:space="preserve">:</w:t>
      </w:r>
    </w:p>
    <w:p>
      <w:pPr>
        <w:pStyle w:val="Normal(Web)"/>
        <w:divId w:val="529"/>
        <w:rPr>
          <w:vanish w:val="0"/>
        </w:rPr>
      </w:pPr>
      <w:r>
        <w:rPr>
          <w:b/>
        </w:rPr>
        <w:t xml:space="preserve">11. Hệ thống treo </w:t>
      </w:r>
      <w:r>
        <w:rPr>
          <w:b/>
          <w:i/>
        </w:rPr>
        <w:t xml:space="preserve">(Suspens</w:t>
      </w:r>
      <w:r>
        <w:rPr>
          <w:b/>
          <w:i/>
        </w:rPr>
        <w:t xml:space="preserve">i</w:t>
      </w:r>
      <w:r>
        <w:rPr>
          <w:b/>
          <w:i/>
        </w:rPr>
        <w:t xml:space="preserve">on sys</w:t>
      </w:r>
      <w:r>
        <w:rPr>
          <w:b/>
          <w:i/>
        </w:rPr>
        <w:t xml:space="preserve">tem)</w:t>
      </w:r>
    </w:p>
    <w:p>
      <w:pPr>
        <w:pStyle w:val="Normal(Web)"/>
        <w:divId w:val="530"/>
        <w:rPr>
          <w:vanish w:val="0"/>
        </w:rPr>
      </w:pPr>
      <w:r>
        <w:t xml:space="preserve">11.1. Kiểu treo trục 1 </w:t>
      </w:r>
      <w:r>
        <w:rPr>
          <w:i/>
        </w:rPr>
        <w:t xml:space="preserve">(Type of 1</w:t>
      </w:r>
      <w:r>
        <w:rPr>
          <w:i/>
          <w:vertAlign w:val="superscript"/>
        </w:rPr>
        <w:t xml:space="preserve">s</w:t>
      </w:r>
      <w:r>
        <w:rPr>
          <w:i/>
          <w:vertAlign w:val="superscript"/>
        </w:rPr>
        <w:t xml:space="preserve">t</w:t>
      </w:r>
      <w:r>
        <w:rPr>
          <w:i/>
        </w:rPr>
        <w:t xml:space="preserve"> ax</w:t>
      </w:r>
      <w:r>
        <w:rPr>
          <w:i/>
        </w:rPr>
        <w:t xml:space="preserve">le):</w:t>
      </w:r>
    </w:p>
    <w:p>
      <w:pPr>
        <w:pStyle w:val="Normal(Web)"/>
        <w:divId w:val="531"/>
        <w:rPr>
          <w:vanish w:val="0"/>
        </w:rPr>
      </w:pPr>
      <w:r>
        <w:t xml:space="preserve">11.1.1. Giảm chấn </w:t>
      </w:r>
      <w:r>
        <w:rPr>
          <w:i/>
        </w:rPr>
        <w:t xml:space="preserve">(Shock absorber)</w:t>
      </w:r>
      <w:r>
        <w:t xml:space="preserve">:</w:t>
      </w:r>
    </w:p>
    <w:p>
      <w:pPr>
        <w:pStyle w:val="Normal(Web)"/>
        <w:divId w:val="532"/>
        <w:rPr>
          <w:vanish w:val="0"/>
        </w:rPr>
      </w:pPr>
      <w:r>
        <w:t xml:space="preserve">11.2. Kiểu treo trục 2 </w:t>
      </w:r>
      <w:r>
        <w:rPr>
          <w:i/>
        </w:rPr>
        <w:t xml:space="preserve">(Type of 2</w:t>
      </w:r>
      <w:r>
        <w:rPr>
          <w:i/>
          <w:vertAlign w:val="superscript"/>
        </w:rPr>
        <w:t xml:space="preserve">nd</w:t>
      </w:r>
      <w:r>
        <w:rPr>
          <w:i/>
        </w:rPr>
        <w:t xml:space="preserve"> axl</w:t>
      </w:r>
      <w:r>
        <w:rPr>
          <w:i/>
        </w:rPr>
        <w:t xml:space="preserve">e)</w:t>
      </w:r>
      <w:r>
        <w:t xml:space="preserve">:</w:t>
      </w:r>
    </w:p>
    <w:p>
      <w:pPr>
        <w:pStyle w:val="Normal(Web)"/>
        <w:divId w:val="533"/>
        <w:rPr>
          <w:vanish w:val="0"/>
        </w:rPr>
      </w:pPr>
      <w:r>
        <w:t xml:space="preserve">11.2.1. Giảm chấn </w:t>
      </w:r>
      <w:r>
        <w:rPr>
          <w:i/>
        </w:rPr>
        <w:t xml:space="preserve">(Shock b</w:t>
      </w:r>
      <w:r>
        <w:rPr>
          <w:i/>
        </w:rPr>
        <w:t xml:space="preserve">sorber)</w:t>
      </w:r>
      <w:r>
        <w:t xml:space="preserve">:</w:t>
      </w:r>
    </w:p>
    <w:p>
      <w:pPr>
        <w:pStyle w:val="Normal(Web)"/>
        <w:divId w:val="534"/>
        <w:rPr>
          <w:vanish w:val="0"/>
        </w:rPr>
      </w:pPr>
      <w:r>
        <w:rPr>
          <w:b/>
        </w:rPr>
        <w:t xml:space="preserve">12. Hệ thống lái </w:t>
      </w:r>
      <w:r>
        <w:rPr>
          <w:b/>
          <w:i/>
        </w:rPr>
        <w:t xml:space="preserve">(Steer</w:t>
      </w:r>
      <w:r>
        <w:rPr>
          <w:b/>
          <w:i/>
        </w:rPr>
        <w:t xml:space="preserve">ing system)</w:t>
      </w:r>
    </w:p>
    <w:p>
      <w:pPr>
        <w:pStyle w:val="Normal(Web)"/>
        <w:divId w:val="535"/>
        <w:rPr>
          <w:vanish w:val="0"/>
        </w:rPr>
      </w:pPr>
      <w:r>
        <w:t xml:space="preserve">12.1. Kiểu cơ cấu lái </w:t>
      </w:r>
      <w:r>
        <w:rPr>
          <w:i/>
        </w:rPr>
        <w:t xml:space="preserve">(Type)</w:t>
      </w:r>
      <w:r>
        <w:t xml:space="preserve">:</w:t>
      </w:r>
    </w:p>
    <w:p>
      <w:pPr>
        <w:pStyle w:val="Normal(Web)"/>
        <w:divId w:val="536"/>
        <w:rPr>
          <w:vanish w:val="0"/>
        </w:rPr>
      </w:pPr>
      <w:r>
        <w:t xml:space="preserve">12.2. Dẫn động </w:t>
      </w:r>
      <w:r>
        <w:rPr>
          <w:i/>
        </w:rPr>
        <w:t xml:space="preserve">(Actuation)</w:t>
      </w:r>
      <w:r>
        <w:t xml:space="preserve">:</w:t>
      </w:r>
    </w:p>
    <w:p>
      <w:pPr>
        <w:pStyle w:val="Normal(Web)"/>
        <w:divId w:val="537"/>
        <w:rPr>
          <w:vanish w:val="0"/>
        </w:rPr>
      </w:pPr>
      <w:r>
        <w:t xml:space="preserve">12.3. Bán kính quay vòng nhỏ nhất </w:t>
      </w:r>
      <w:r>
        <w:rPr>
          <w:i/>
        </w:rPr>
        <w:t xml:space="preserve">(</w:t>
      </w:r>
      <w:r>
        <w:rPr>
          <w:i/>
        </w:rPr>
        <w:t xml:space="preserve">Minimum turn</w:t>
      </w:r>
      <w:r>
        <w:rPr>
          <w:i/>
        </w:rPr>
        <w:t xml:space="preserve">i</w:t>
      </w:r>
      <w:r>
        <w:rPr>
          <w:i/>
        </w:rPr>
        <w:t xml:space="preserve">ng rad</w:t>
      </w:r>
      <w:r>
        <w:rPr>
          <w:i/>
        </w:rPr>
        <w:t xml:space="preserve">i</w:t>
      </w:r>
      <w:r>
        <w:rPr>
          <w:i/>
        </w:rPr>
        <w:t xml:space="preserve">us)</w:t>
      </w:r>
      <w:r>
        <w:t xml:space="preserve">: m</w:t>
      </w:r>
    </w:p>
    <w:p>
      <w:pPr>
        <w:pStyle w:val="Normal(Web)"/>
        <w:divId w:val="538"/>
        <w:rPr>
          <w:vanish w:val="0"/>
        </w:rPr>
      </w:pPr>
      <w:r>
        <w:rPr>
          <w:b/>
        </w:rPr>
        <w:t xml:space="preserve">13. Hệ thống phanh</w:t>
      </w:r>
      <w:r>
        <w:t xml:space="preserve"> </w:t>
      </w:r>
      <w:r>
        <w:rPr>
          <w:b/>
          <w:i/>
        </w:rPr>
        <w:t xml:space="preserve">(Brake system)</w:t>
      </w:r>
    </w:p>
    <w:p>
      <w:pPr>
        <w:pStyle w:val="Normal(Web)"/>
        <w:divId w:val="539"/>
        <w:rPr>
          <w:vanish w:val="0"/>
        </w:rPr>
      </w:pPr>
      <w:r>
        <w:t xml:space="preserve">13.1. Phanh chính </w:t>
      </w:r>
      <w:r>
        <w:rPr>
          <w:i/>
        </w:rPr>
        <w:t xml:space="preserve">(Service brake):</w:t>
      </w:r>
    </w:p>
    <w:p>
      <w:pPr>
        <w:pStyle w:val="Normal(Web)"/>
        <w:divId w:val="540"/>
        <w:rPr>
          <w:vanish w:val="0"/>
        </w:rPr>
      </w:pPr>
      <w:r>
        <w:t xml:space="preserve">13.1.1. Trục 1 </w:t>
      </w:r>
      <w:r>
        <w:rPr>
          <w:i/>
        </w:rPr>
        <w:t xml:space="preserve">(Axl</w:t>
      </w:r>
      <w:r>
        <w:rPr>
          <w:i/>
        </w:rPr>
        <w:t xml:space="preserve">e </w:t>
      </w:r>
      <w:r>
        <w:rPr>
          <w:i/>
        </w:rPr>
        <w:t xml:space="preserve">1</w:t>
      </w:r>
      <w:r>
        <w:rPr>
          <w:i/>
          <w:vertAlign w:val="superscript"/>
        </w:rPr>
        <w:t xml:space="preserve">th</w:t>
      </w:r>
      <w:r>
        <w:rPr>
          <w:i/>
        </w:rPr>
        <w:t xml:space="preserve">)</w:t>
      </w:r>
      <w:r>
        <w:t xml:space="preserve">:</w:t>
      </w:r>
    </w:p>
    <w:p>
      <w:pPr>
        <w:pStyle w:val="Normal(Web)"/>
        <w:divId w:val="541"/>
        <w:rPr>
          <w:vanish w:val="0"/>
        </w:rPr>
      </w:pPr>
      <w:r>
        <w:t xml:space="preserve">13.1.2. Trục 2 </w:t>
      </w:r>
      <w:r>
        <w:rPr>
          <w:i/>
        </w:rPr>
        <w:t xml:space="preserve">(Axle 2</w:t>
      </w:r>
      <w:r>
        <w:rPr>
          <w:i/>
          <w:vertAlign w:val="superscript"/>
        </w:rPr>
        <w:t xml:space="preserve">rd</w:t>
      </w:r>
      <w:r>
        <w:rPr>
          <w:i/>
        </w:rPr>
        <w:t xml:space="preserve">)</w:t>
      </w:r>
      <w:r>
        <w:t xml:space="preserve">:</w:t>
      </w:r>
    </w:p>
    <w:p>
      <w:pPr>
        <w:pStyle w:val="Normal(Web)"/>
        <w:divId w:val="542"/>
        <w:rPr>
          <w:vanish w:val="0"/>
        </w:rPr>
      </w:pPr>
      <w:r>
        <w:t xml:space="preserve">13.2. Dẫn động phanh chính </w:t>
      </w:r>
      <w:r>
        <w:rPr>
          <w:i/>
        </w:rPr>
        <w:t xml:space="preserve">(Actuation)</w:t>
      </w:r>
      <w:r>
        <w:t xml:space="preserve">:</w:t>
      </w:r>
    </w:p>
    <w:p>
      <w:pPr>
        <w:pStyle w:val="Normal(Web)"/>
        <w:divId w:val="543"/>
        <w:rPr>
          <w:vanish w:val="0"/>
        </w:rPr>
      </w:pPr>
      <w:r>
        <w:t xml:space="preserve">13.3. Phanhđỗxe </w:t>
      </w:r>
      <w:r>
        <w:rPr>
          <w:i/>
        </w:rPr>
        <w:t xml:space="preserve">(Parkingbrake)</w:t>
      </w:r>
      <w:r>
        <w:t xml:space="preserve">:</w:t>
      </w:r>
    </w:p>
    <w:p>
      <w:pPr>
        <w:pStyle w:val="Normal(Web)"/>
        <w:divId w:val="544"/>
        <w:rPr>
          <w:vanish w:val="0"/>
        </w:rPr>
      </w:pPr>
      <w:r>
        <w:t xml:space="preserve">13.3.1. Kiểu </w:t>
      </w:r>
      <w:r>
        <w:rPr>
          <w:i/>
        </w:rPr>
        <w:t xml:space="preserve">(Type)</w:t>
      </w:r>
      <w:r>
        <w:t xml:space="preserve">:</w:t>
      </w:r>
    </w:p>
    <w:p>
      <w:pPr>
        <w:pStyle w:val="Normal(Web)"/>
        <w:divId w:val="545"/>
        <w:rPr>
          <w:vanish w:val="0"/>
        </w:rPr>
      </w:pPr>
      <w:r>
        <w:t xml:space="preserve">13.3.2. Dẫn động </w:t>
      </w:r>
      <w:r>
        <w:rPr>
          <w:i/>
        </w:rPr>
        <w:t xml:space="preserve">(Actuation)</w:t>
      </w:r>
      <w:r>
        <w:t xml:space="preserve">:</w:t>
      </w:r>
    </w:p>
    <w:p>
      <w:pPr>
        <w:pStyle w:val="Normal(Web)"/>
        <w:divId w:val="546"/>
        <w:rPr>
          <w:vanish w:val="0"/>
        </w:rPr>
      </w:pPr>
      <w:r>
        <w:rPr>
          <w:b/>
        </w:rPr>
        <w:t xml:space="preserve">14. Hệ thống chiếu sáng, tín hiệu và các trang thiết bị khác </w:t>
      </w:r>
      <w:r>
        <w:rPr>
          <w:b/>
          <w:i/>
        </w:rPr>
        <w:t xml:space="preserve">(Electrical equipments)</w:t>
      </w:r>
      <w:r>
        <w:rPr>
          <w:b/>
          <w:i/>
          <w:vertAlign w:val="superscript"/>
        </w:rPr>
        <w:t xml:space="preserve">(4)</w:t>
      </w:r>
    </w:p>
    <w:p>
      <w:pPr>
        <w:pStyle w:val="Normal(Web)"/>
        <w:divId w:val="547"/>
        <w:rPr>
          <w:vanish w:val="0"/>
        </w:rPr>
      </w:pPr>
      <w:r>
        <w:t xml:space="preserve">14.1. Đèn chiếu sáng phía trước </w:t>
      </w:r>
      <w:r>
        <w:rPr>
          <w:i/>
        </w:rPr>
        <w:t xml:space="preserve">(H</w:t>
      </w:r>
      <w:r>
        <w:rPr>
          <w:i/>
        </w:rPr>
        <w:t xml:space="preserve">ead </w:t>
      </w:r>
      <w:r>
        <w:rPr>
          <w:i/>
        </w:rPr>
        <w:t xml:space="preserve">lamps</w:t>
      </w:r>
      <w:r>
        <w:rPr>
          <w:i/>
        </w:rPr>
        <w:t xml:space="preserve">)</w:t>
      </w:r>
      <w:r>
        <w:t xml:space="preserve">:</w:t>
      </w:r>
    </w:p>
    <w:p>
      <w:pPr>
        <w:pStyle w:val="Normal(Web)"/>
        <w:divId w:val="548"/>
        <w:rPr>
          <w:vanish w:val="0"/>
        </w:rPr>
      </w:pPr>
      <w:r>
        <w:t xml:space="preserve">14.1.1. Số lượng </w:t>
      </w:r>
      <w:r>
        <w:rPr>
          <w:i/>
        </w:rPr>
        <w:t xml:space="preserve">(Quantity)</w:t>
      </w:r>
      <w:r>
        <w:t xml:space="preserve">: Chiếc</w:t>
      </w:r>
    </w:p>
    <w:p>
      <w:pPr>
        <w:pStyle w:val="Normal(Web)"/>
        <w:divId w:val="549"/>
        <w:rPr>
          <w:vanish w:val="0"/>
        </w:rPr>
      </w:pPr>
      <w:r>
        <w:t xml:space="preserve">14.1.2. Màu sắc </w:t>
      </w:r>
      <w:r>
        <w:rPr>
          <w:i/>
        </w:rPr>
        <w:t xml:space="preserve">(Col</w:t>
      </w:r>
      <w:r>
        <w:rPr>
          <w:i/>
        </w:rPr>
        <w:t xml:space="preserve">or)</w:t>
      </w:r>
      <w:r>
        <w:t xml:space="preserve">:</w:t>
      </w:r>
    </w:p>
    <w:p>
      <w:pPr>
        <w:pStyle w:val="Normal(Web)"/>
        <w:divId w:val="550"/>
        <w:rPr>
          <w:vanish w:val="0"/>
        </w:rPr>
      </w:pPr>
      <w:r>
        <w:t xml:space="preserve">14.2. Đèn vị trí trước/sau </w:t>
      </w:r>
      <w:r>
        <w:rPr>
          <w:i/>
        </w:rPr>
        <w:t xml:space="preserve">(Front/rear positi</w:t>
      </w:r>
      <w:r>
        <w:rPr>
          <w:i/>
        </w:rPr>
        <w:t xml:space="preserve">on </w:t>
      </w:r>
      <w:r>
        <w:rPr>
          <w:i/>
        </w:rPr>
        <w:t xml:space="preserve">lamps</w:t>
      </w:r>
      <w:r>
        <w:rPr>
          <w:i/>
        </w:rPr>
        <w:t xml:space="preserve">)</w:t>
      </w:r>
      <w:r>
        <w:t xml:space="preserve">:</w:t>
      </w:r>
    </w:p>
    <w:p>
      <w:pPr>
        <w:pStyle w:val="Normal(Web)"/>
        <w:divId w:val="551"/>
        <w:rPr>
          <w:vanish w:val="0"/>
        </w:rPr>
      </w:pPr>
      <w:r>
        <w:t xml:space="preserve">14.2.1. Số lượng </w:t>
      </w:r>
      <w:r>
        <w:rPr>
          <w:i/>
        </w:rPr>
        <w:t xml:space="preserve">(Quantity)</w:t>
      </w:r>
      <w:r>
        <w:t xml:space="preserve">: Chiếc</w:t>
      </w:r>
    </w:p>
    <w:p>
      <w:pPr>
        <w:pStyle w:val="Normal(Web)"/>
        <w:divId w:val="552"/>
        <w:rPr>
          <w:vanish w:val="0"/>
        </w:rPr>
      </w:pPr>
      <w:r>
        <w:t xml:space="preserve">14.2.2. Màu sắc </w:t>
      </w:r>
      <w:r>
        <w:rPr>
          <w:i/>
        </w:rPr>
        <w:t xml:space="preserve">(Color)</w:t>
      </w:r>
      <w:r>
        <w:t xml:space="preserve">:</w:t>
      </w:r>
    </w:p>
    <w:p>
      <w:pPr>
        <w:pStyle w:val="Normal(Web)"/>
        <w:divId w:val="553"/>
        <w:rPr>
          <w:vanish w:val="0"/>
        </w:rPr>
      </w:pPr>
      <w:r>
        <w:t xml:space="preserve">14.3. Đèn báo rẽ trước/sau/bên </w:t>
      </w:r>
      <w:r>
        <w:rPr>
          <w:i/>
        </w:rPr>
        <w:t xml:space="preserve">(Turn signal lamps)</w:t>
      </w:r>
      <w:r>
        <w:t xml:space="preserve">:</w:t>
      </w:r>
    </w:p>
    <w:p>
      <w:pPr>
        <w:pStyle w:val="Normal(Web)"/>
        <w:divId w:val="554"/>
        <w:rPr>
          <w:vanish w:val="0"/>
        </w:rPr>
      </w:pPr>
      <w:r>
        <w:t xml:space="preserve">14.3.1. Số lượng </w:t>
      </w:r>
      <w:r>
        <w:rPr>
          <w:i/>
        </w:rPr>
        <w:t xml:space="preserve">(Quantity)</w:t>
      </w:r>
      <w:r>
        <w:t xml:space="preserve">: Chiếc</w:t>
      </w:r>
    </w:p>
    <w:p>
      <w:pPr>
        <w:pStyle w:val="Normal(Web)"/>
        <w:divId w:val="555"/>
        <w:rPr>
          <w:vanish w:val="0"/>
        </w:rPr>
      </w:pPr>
      <w:r>
        <w:t xml:space="preserve">14.3.2. Màu sắc </w:t>
      </w:r>
      <w:r>
        <w:rPr>
          <w:i/>
        </w:rPr>
        <w:t xml:space="preserve">(Col</w:t>
      </w:r>
      <w:r>
        <w:rPr>
          <w:i/>
        </w:rPr>
        <w:t xml:space="preserve">or)</w:t>
      </w:r>
      <w:r>
        <w:t xml:space="preserve">:</w:t>
      </w:r>
    </w:p>
    <w:p>
      <w:pPr>
        <w:pStyle w:val="Normal(Web)"/>
        <w:divId w:val="556"/>
        <w:rPr>
          <w:vanish w:val="0"/>
        </w:rPr>
      </w:pPr>
      <w:r>
        <w:t xml:space="preserve">14.4. Đèn phanh </w:t>
      </w:r>
      <w:r>
        <w:rPr>
          <w:i/>
        </w:rPr>
        <w:t xml:space="preserve">(Stop lamps)</w:t>
      </w:r>
      <w:r>
        <w:t xml:space="preserve">:</w:t>
      </w:r>
    </w:p>
    <w:p>
      <w:pPr>
        <w:pStyle w:val="Normal(Web)"/>
        <w:divId w:val="557"/>
        <w:rPr>
          <w:vanish w:val="0"/>
        </w:rPr>
      </w:pPr>
      <w:r>
        <w:t xml:space="preserve">14.4.1. Số lượng </w:t>
      </w:r>
      <w:r>
        <w:rPr>
          <w:i/>
        </w:rPr>
        <w:t xml:space="preserve">(Quantity)</w:t>
      </w:r>
      <w:r>
        <w:t xml:space="preserve">: Chiếc</w:t>
      </w:r>
    </w:p>
    <w:p>
      <w:pPr>
        <w:pStyle w:val="Normal(Web)"/>
        <w:divId w:val="558"/>
        <w:rPr>
          <w:vanish w:val="0"/>
        </w:rPr>
      </w:pPr>
      <w:r>
        <w:t xml:space="preserve">14.4.2. Màu sắc </w:t>
      </w:r>
      <w:r>
        <w:rPr>
          <w:i/>
        </w:rPr>
        <w:t xml:space="preserve">(Color)</w:t>
      </w:r>
      <w:r>
        <w:t xml:space="preserve">:</w:t>
      </w:r>
    </w:p>
    <w:p>
      <w:pPr>
        <w:pStyle w:val="Normal(Web)"/>
        <w:divId w:val="559"/>
        <w:rPr>
          <w:vanish w:val="0"/>
        </w:rPr>
      </w:pPr>
      <w:r>
        <w:t xml:space="preserve">14.5. Đèn soi biển số phía sau </w:t>
      </w:r>
      <w:r>
        <w:rPr>
          <w:i/>
        </w:rPr>
        <w:t xml:space="preserve">(Rear l</w:t>
      </w:r>
      <w:r>
        <w:rPr>
          <w:i/>
        </w:rPr>
        <w:t xml:space="preserve">icence plate </w:t>
      </w:r>
      <w:r>
        <w:rPr>
          <w:i/>
        </w:rPr>
        <w:t xml:space="preserve">l</w:t>
      </w:r>
      <w:r>
        <w:rPr>
          <w:i/>
        </w:rPr>
        <w:t xml:space="preserve">amp)</w:t>
      </w:r>
      <w:r>
        <w:t xml:space="preserve">:</w:t>
      </w:r>
    </w:p>
    <w:p>
      <w:pPr>
        <w:pStyle w:val="Normal(Web)"/>
        <w:divId w:val="560"/>
        <w:rPr>
          <w:vanish w:val="0"/>
        </w:rPr>
      </w:pPr>
      <w:r>
        <w:t xml:space="preserve">14.5.1. Số lượng </w:t>
      </w:r>
      <w:r>
        <w:rPr>
          <w:i/>
        </w:rPr>
        <w:t xml:space="preserve">(Quantity)</w:t>
      </w:r>
      <w:r>
        <w:t xml:space="preserve">: Chiếc</w:t>
      </w:r>
    </w:p>
    <w:p>
      <w:pPr>
        <w:pStyle w:val="Normal(Web)"/>
        <w:divId w:val="561"/>
        <w:rPr>
          <w:vanish w:val="0"/>
        </w:rPr>
      </w:pPr>
      <w:r>
        <w:t xml:space="preserve">14.5.2. Màu sắc </w:t>
      </w:r>
      <w:r>
        <w:rPr>
          <w:i/>
        </w:rPr>
        <w:t xml:space="preserve">(Color)</w:t>
      </w:r>
      <w:r>
        <w:t xml:space="preserve">:</w:t>
      </w:r>
    </w:p>
    <w:p>
      <w:pPr>
        <w:pStyle w:val="Normal(Web)"/>
        <w:divId w:val="562"/>
        <w:rPr>
          <w:vanish w:val="0"/>
        </w:rPr>
      </w:pPr>
      <w:r>
        <w:t xml:space="preserve">14.6. Đèn lùi </w:t>
      </w:r>
      <w:r>
        <w:rPr>
          <w:i/>
        </w:rPr>
        <w:t xml:space="preserve">(Tail</w:t>
      </w:r>
      <w:r>
        <w:rPr>
          <w:i/>
        </w:rPr>
        <w:t xml:space="preserve"> lamps)</w:t>
      </w:r>
      <w:r>
        <w:t xml:space="preserve">:</w:t>
      </w:r>
    </w:p>
    <w:p>
      <w:pPr>
        <w:pStyle w:val="Normal(Web)"/>
        <w:divId w:val="563"/>
        <w:rPr>
          <w:vanish w:val="0"/>
        </w:rPr>
      </w:pPr>
      <w:r>
        <w:t xml:space="preserve">14.6.1. Số lượng </w:t>
      </w:r>
      <w:r>
        <w:rPr>
          <w:i/>
        </w:rPr>
        <w:t xml:space="preserve">(Quantity)</w:t>
      </w:r>
      <w:r>
        <w:t xml:space="preserve">: Chiếc</w:t>
      </w:r>
    </w:p>
    <w:p>
      <w:pPr>
        <w:pStyle w:val="Normal(Web)"/>
        <w:divId w:val="564"/>
        <w:rPr>
          <w:vanish w:val="0"/>
        </w:rPr>
      </w:pPr>
      <w:r>
        <w:t xml:space="preserve">14.6.2. Màu sắc </w:t>
      </w:r>
      <w:r>
        <w:rPr>
          <w:i/>
        </w:rPr>
        <w:t xml:space="preserve">(Col</w:t>
      </w:r>
      <w:r>
        <w:rPr>
          <w:i/>
        </w:rPr>
        <w:t xml:space="preserve">or)</w:t>
      </w:r>
      <w:r>
        <w:t xml:space="preserve">:</w:t>
      </w:r>
    </w:p>
    <w:p>
      <w:pPr>
        <w:pStyle w:val="Normal(Web)"/>
        <w:divId w:val="565"/>
        <w:rPr>
          <w:vanish w:val="0"/>
        </w:rPr>
      </w:pPr>
      <w:r>
        <w:t xml:space="preserve">14.7. Đèn đỗ xe </w:t>
      </w:r>
      <w:r>
        <w:rPr>
          <w:i/>
        </w:rPr>
        <w:t xml:space="preserve">(Parking l</w:t>
      </w:r>
      <w:r>
        <w:rPr>
          <w:i/>
        </w:rPr>
        <w:t xml:space="preserve">amps)</w:t>
      </w:r>
      <w:r>
        <w:t xml:space="preserve">:</w:t>
      </w:r>
    </w:p>
    <w:p>
      <w:pPr>
        <w:pStyle w:val="Normal(Web)"/>
        <w:divId w:val="566"/>
        <w:rPr>
          <w:vanish w:val="0"/>
        </w:rPr>
      </w:pPr>
      <w:r>
        <w:t xml:space="preserve">14.7.1. Số lượng </w:t>
      </w:r>
      <w:r>
        <w:rPr>
          <w:i/>
        </w:rPr>
        <w:t xml:space="preserve">(Quantity)</w:t>
      </w:r>
      <w:r>
        <w:t xml:space="preserve">: Chiếc</w:t>
      </w:r>
    </w:p>
    <w:p>
      <w:pPr>
        <w:pStyle w:val="Normal(Web)"/>
        <w:divId w:val="567"/>
        <w:rPr>
          <w:vanish w:val="0"/>
        </w:rPr>
      </w:pPr>
      <w:r>
        <w:t xml:space="preserve">14.7.2. Màu sắc </w:t>
      </w:r>
      <w:r>
        <w:rPr>
          <w:i/>
        </w:rPr>
        <w:t xml:space="preserve">(Color)</w:t>
      </w:r>
      <w:r>
        <w:t xml:space="preserve">:</w:t>
      </w:r>
    </w:p>
    <w:p>
      <w:pPr>
        <w:pStyle w:val="Normal(Web)"/>
        <w:divId w:val="568"/>
        <w:rPr>
          <w:vanish w:val="0"/>
        </w:rPr>
      </w:pPr>
      <w:r>
        <w:t xml:space="preserve">14.8. Tấm phản quang </w:t>
      </w:r>
      <w:r>
        <w:rPr>
          <w:i/>
        </w:rPr>
        <w:t xml:space="preserve">(Reflective panels)</w:t>
      </w:r>
      <w:r>
        <w:t xml:space="preserve">:</w:t>
      </w:r>
    </w:p>
    <w:p>
      <w:pPr>
        <w:pStyle w:val="Normal(Web)"/>
        <w:divId w:val="569"/>
        <w:rPr>
          <w:vanish w:val="0"/>
        </w:rPr>
      </w:pPr>
      <w:r>
        <w:t xml:space="preserve">14.8.1. Số lượng </w:t>
      </w:r>
      <w:r>
        <w:rPr>
          <w:i/>
        </w:rPr>
        <w:t xml:space="preserve">(Quantity)</w:t>
      </w:r>
      <w:r>
        <w:t xml:space="preserve">: Chiếc</w:t>
      </w:r>
    </w:p>
    <w:p>
      <w:pPr>
        <w:pStyle w:val="Normal(Web)"/>
        <w:divId w:val="570"/>
        <w:rPr>
          <w:vanish w:val="0"/>
        </w:rPr>
      </w:pPr>
      <w:r>
        <w:t xml:space="preserve">14.8.2. Màu sắc </w:t>
      </w:r>
      <w:r>
        <w:rPr>
          <w:i/>
        </w:rPr>
        <w:t xml:space="preserve">(Color)</w:t>
      </w:r>
      <w:r>
        <w:t xml:space="preserve">:</w:t>
      </w:r>
    </w:p>
    <w:p>
      <w:pPr>
        <w:pStyle w:val="Normal(Web)"/>
        <w:divId w:val="571"/>
        <w:rPr>
          <w:vanish w:val="0"/>
        </w:rPr>
      </w:pPr>
      <w:r>
        <w:rPr>
          <w:b/>
        </w:rPr>
        <w:t xml:space="preserve">15. Thân xe </w:t>
      </w:r>
      <w:r>
        <w:rPr>
          <w:b/>
          <w:i/>
        </w:rPr>
        <w:t xml:space="preserve">(Body)</w:t>
      </w:r>
      <w:r>
        <w:rPr>
          <w:b/>
          <w:i/>
          <w:vertAlign w:val="superscript"/>
        </w:rPr>
        <w:t xml:space="preserve">(4)</w:t>
      </w:r>
    </w:p>
    <w:p>
      <w:pPr>
        <w:pStyle w:val="Normal(Web)"/>
        <w:divId w:val="572"/>
        <w:rPr>
          <w:vanish w:val="0"/>
        </w:rPr>
      </w:pPr>
      <w:r>
        <w:t xml:space="preserve">15.1. Kiểu thân xe/cabin </w:t>
      </w:r>
      <w:r>
        <w:rPr>
          <w:i/>
        </w:rPr>
        <w:t xml:space="preserve">(Body type)</w:t>
      </w:r>
      <w:r>
        <w:t xml:space="preserve">:</w:t>
      </w:r>
    </w:p>
    <w:p>
      <w:pPr>
        <w:pStyle w:val="Normal(Web)"/>
        <w:divId w:val="573"/>
        <w:rPr>
          <w:vanish w:val="0"/>
        </w:rPr>
      </w:pPr>
      <w:r>
        <w:t xml:space="preserve">15.2. Bản vẽ bố trí kích thước chung bên trong, bao gồm cả sơ đồbố trí ghế</w:t>
      </w:r>
      <w:r>
        <w:rPr>
          <w:i/>
        </w:rPr>
        <w:t xml:space="preserve">(General</w:t>
      </w:r>
      <w:r>
        <w:rPr>
          <w:i/>
        </w:rPr>
        <w:t xml:space="preserve">dimensiona</w:t>
      </w:r>
      <w:r>
        <w:rPr>
          <w:i/>
        </w:rPr>
        <w:t xml:space="preserve">l</w:t>
      </w:r>
      <w:r>
        <w:rPr>
          <w:i/>
        </w:rPr>
        <w:t xml:space="preserve"> arrangement rawing of inside, inc</w:t>
      </w:r>
      <w:r>
        <w:rPr>
          <w:i/>
        </w:rPr>
        <w:t xml:space="preserve">l</w:t>
      </w:r>
      <w:r>
        <w:rPr>
          <w:i/>
        </w:rPr>
        <w:t xml:space="preserve">ude d</w:t>
      </w:r>
      <w:r>
        <w:rPr>
          <w:i/>
        </w:rPr>
        <w:t xml:space="preserve">i</w:t>
      </w:r>
      <w:r>
        <w:rPr>
          <w:i/>
        </w:rPr>
        <w:t xml:space="preserve">agram </w:t>
      </w:r>
      <w:r>
        <w:rPr>
          <w:i/>
        </w:rPr>
        <w:t xml:space="preserve">l</w:t>
      </w:r>
      <w:r>
        <w:rPr>
          <w:i/>
        </w:rPr>
        <w:t xml:space="preserve">ocation of seats)</w:t>
      </w:r>
      <w:r>
        <w:rPr>
          <w:vertAlign w:val="superscript"/>
        </w:rPr>
        <w:t xml:space="preserve">(2)</w:t>
      </w:r>
      <w:r>
        <w:t xml:space="preserve">:</w:t>
      </w:r>
    </w:p>
    <w:p>
      <w:pPr>
        <w:pStyle w:val="Normal(Web)"/>
        <w:divId w:val="574"/>
        <w:rPr>
          <w:vanish w:val="0"/>
        </w:rPr>
      </w:pPr>
      <w:r>
        <w:t xml:space="preserve">15.3. Dây đai an toàn </w:t>
      </w:r>
      <w:r>
        <w:rPr>
          <w:i/>
        </w:rPr>
        <w:t xml:space="preserve">(Seatbelt)</w:t>
      </w:r>
    </w:p>
    <w:p>
      <w:pPr>
        <w:pStyle w:val="Normal(Web)"/>
        <w:divId w:val="575"/>
        <w:rPr>
          <w:vanish w:val="0"/>
        </w:rPr>
      </w:pPr>
      <w:r>
        <w:t xml:space="preserve">15.3.1. Dây đai an toàn cho người lái </w:t>
      </w:r>
      <w:r>
        <w:rPr>
          <w:i/>
        </w:rPr>
        <w:t xml:space="preserve">(Dri</w:t>
      </w:r>
      <w:r>
        <w:rPr>
          <w:i/>
        </w:rPr>
        <w:t xml:space="preserve">ver's seatbelt</w:t>
      </w:r>
      <w:r>
        <w:t xml:space="preserve">):</w:t>
      </w:r>
    </w:p>
    <w:p>
      <w:pPr>
        <w:pStyle w:val="Normal(Web)"/>
        <w:divId w:val="576"/>
        <w:rPr>
          <w:vanish w:val="0"/>
        </w:rPr>
      </w:pPr>
      <w:r>
        <w:t xml:space="preserve">15.3.2. Dây đai an toàn cho hành khách </w:t>
      </w:r>
      <w:r>
        <w:rPr>
          <w:i/>
        </w:rPr>
        <w:t xml:space="preserve">(Passenger's seatbel</w:t>
      </w:r>
      <w:r>
        <w:rPr>
          <w:i/>
        </w:rPr>
        <w:t xml:space="preserve">t)</w:t>
      </w:r>
      <w:r>
        <w:t xml:space="preserve">; Số lượng </w:t>
      </w:r>
      <w:r>
        <w:rPr>
          <w:i/>
        </w:rPr>
        <w:t xml:space="preserve">(Quani</w:t>
      </w:r>
      <w:r>
        <w:rPr>
          <w:i/>
        </w:rPr>
        <w:t xml:space="preserve">ity)</w:t>
      </w:r>
      <w:r>
        <w:t xml:space="preserve">: chiếc</w:t>
      </w:r>
    </w:p>
    <w:p>
      <w:pPr>
        <w:pStyle w:val="Normal(Web)"/>
        <w:divId w:val="577"/>
        <w:rPr>
          <w:vanish w:val="0"/>
        </w:rPr>
      </w:pPr>
      <w:r>
        <w:rPr>
          <w:b/>
        </w:rPr>
        <w:t xml:space="preserve">16. Các chỉ tiêu và mức chất Iượng</w:t>
      </w:r>
      <w:r>
        <w:rPr>
          <w:b/>
          <w:vertAlign w:val="superscript"/>
        </w:rPr>
        <w:t xml:space="preserve">(4)</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578"/>
              <w:jc w:val="center"/>
              <w:rPr>
                <w:vanish w:val="0"/>
              </w:rPr>
            </w:pPr>
            <w:r>
              <w:rPr>
                <w:b/>
              </w:rPr>
              <w:t xml:space="preserve">Stt</w:t>
            </w:r>
          </w:p>
        </w:tc>
        <w:tc>
          <w:tcPr>
            <w:tcW w:w="0" w:type="auto"/>
            <w:shd w:val="clear" w:color="auto" w:fill="auto"/>
            <w:vAlign w:val="center"/>
          </w:tcPr>
          <w:p>
            <w:pPr>
              <w:pStyle w:val="Normal(Web)"/>
              <w:divId w:val="579"/>
              <w:jc w:val="center"/>
              <w:rPr>
                <w:vanish w:val="0"/>
              </w:rPr>
            </w:pPr>
            <w:r>
              <w:rPr>
                <w:b/>
              </w:rPr>
              <w:t xml:space="preserve">Tên chỉ tiêu chất lượng</w:t>
            </w:r>
          </w:p>
        </w:tc>
        <w:tc>
          <w:tcPr>
            <w:tcW w:w="0" w:type="auto"/>
            <w:shd w:val="clear" w:color="auto" w:fill="auto"/>
            <w:vAlign w:val="center"/>
          </w:tcPr>
          <w:p>
            <w:pPr>
              <w:pStyle w:val="Normal(Web)"/>
              <w:divId w:val="580"/>
              <w:jc w:val="center"/>
              <w:rPr>
                <w:vanish w:val="0"/>
              </w:rPr>
            </w:pPr>
            <w:r>
              <w:rPr>
                <w:b/>
              </w:rPr>
              <w:t xml:space="preserve">Đơn vị</w:t>
            </w:r>
          </w:p>
        </w:tc>
        <w:tc>
          <w:tcPr>
            <w:tcW w:w="0" w:type="auto"/>
            <w:shd w:val="clear" w:color="auto" w:fill="auto"/>
            <w:vAlign w:val="center"/>
          </w:tcPr>
          <w:p>
            <w:pPr>
              <w:pStyle w:val="Normal(Web)"/>
              <w:divId w:val="581"/>
              <w:jc w:val="center"/>
              <w:rPr>
                <w:vanish w:val="0"/>
              </w:rPr>
            </w:pPr>
            <w:r>
              <w:rPr>
                <w:b/>
              </w:rPr>
              <w:t xml:space="preserve">Mức chất lượng đăng ký</w:t>
            </w:r>
          </w:p>
        </w:tc>
      </w:tr>
      <w:tr>
        <w:trPr>
          <w:jc w:val="left"/>
        </w:trPr>
        <w:tc>
          <w:tcPr>
            <w:tcW w:w="0" w:type="auto"/>
            <w:shd w:val="clear" w:color="auto" w:fill="auto"/>
            <w:vAlign w:val="center"/>
          </w:tcPr>
          <w:p>
            <w:pPr>
              <w:pStyle w:val="Normal(Web)"/>
              <w:divId w:val="582"/>
              <w:rPr>
                <w:vanish w:val="0"/>
              </w:rPr>
            </w:pPr>
            <w:r>
              <w:t xml:space="preserve">16.1.</w:t>
            </w:r>
          </w:p>
        </w:tc>
        <w:tc>
          <w:tcPr>
            <w:tcW w:w="0" w:type="auto"/>
            <w:shd w:val="clear" w:color="auto" w:fill="auto"/>
            <w:vAlign w:val="center"/>
          </w:tcPr>
          <w:p>
            <w:pPr>
              <w:pStyle w:val="Normal(Web)"/>
              <w:divId w:val="583"/>
              <w:rPr>
                <w:vanish w:val="0"/>
              </w:rPr>
            </w:pPr>
            <w:r>
              <w:t xml:space="preserve">Lực phanh chính</w:t>
            </w:r>
          </w:p>
        </w:tc>
        <w:tc>
          <w:tcPr>
            <w:tcW w:w="0" w:type="auto"/>
            <w:shd w:val="clear" w:color="auto" w:fill="auto"/>
            <w:vAlign w:val="center"/>
          </w:tcPr>
          <w:p>
            <w:pPr>
              <w:pStyle w:val="Normal(Web)"/>
              <w:divId w:val="584"/>
              <w:jc w:val="center"/>
              <w:rPr>
                <w:vanish w:val="0"/>
              </w:rPr>
            </w:pPr>
            <w:r>
              <w:t xml:space="preserve">N</w:t>
            </w:r>
          </w:p>
        </w:tc>
        <w:tc>
          <w:tcPr>
            <w:tcW w:w="0" w:type="auto"/>
            <w:shd w:val="clear" w:color="auto" w:fill="auto"/>
            <w:vAlign w:val="center"/>
          </w:tcPr>
          <w:p>
            <w:pPr>
              <w:pStyle w:val="Normal(Web)"/>
              <w:divId w:val="585"/>
              <w:rPr>
                <w:vanish w:val="0"/>
              </w:rPr>
            </w:pPr>
            <w:r>
              <w:t xml:space="preserve">≥</w:t>
            </w:r>
          </w:p>
        </w:tc>
      </w:tr>
      <w:tr>
        <w:trPr>
          <w:jc w:val="left"/>
        </w:trPr>
        <w:tc>
          <w:tcPr>
            <w:tcW w:w="0" w:type="auto"/>
            <w:shd w:val="clear" w:color="auto" w:fill="auto"/>
            <w:vAlign w:val="center"/>
          </w:tcPr>
          <w:p>
            <w:pPr>
              <w:pStyle w:val="Normal(Web)"/>
              <w:divId w:val="586"/>
              <w:rPr>
                <w:vanish w:val="0"/>
              </w:rPr>
            </w:pPr>
            <w:r>
              <w:t xml:space="preserve">16.1.1.</w:t>
            </w:r>
          </w:p>
        </w:tc>
        <w:tc>
          <w:tcPr>
            <w:tcW w:w="0" w:type="auto"/>
            <w:shd w:val="clear" w:color="auto" w:fill="auto"/>
            <w:vAlign w:val="center"/>
          </w:tcPr>
          <w:p>
            <w:pPr>
              <w:pStyle w:val="Normal(Web)"/>
              <w:divId w:val="587"/>
              <w:rPr>
                <w:vanish w:val="0"/>
              </w:rPr>
            </w:pPr>
            <w:r>
              <w:t xml:space="preserve">Trục 1</w:t>
            </w:r>
          </w:p>
        </w:tc>
        <w:tc>
          <w:tcPr>
            <w:tcW w:w="0" w:type="auto"/>
            <w:shd w:val="clear" w:color="auto" w:fill="auto"/>
            <w:vAlign w:val="center"/>
          </w:tcPr>
          <w:p>
            <w:pPr>
              <w:pStyle w:val="Normal(Web)"/>
              <w:divId w:val="588"/>
              <w:jc w:val="center"/>
              <w:rPr>
                <w:vanish w:val="0"/>
              </w:rPr>
            </w:pPr>
            <w:r>
              <w:t xml:space="preserve">N</w:t>
            </w:r>
          </w:p>
        </w:tc>
        <w:tc>
          <w:tcPr>
            <w:tcW w:w="0" w:type="auto"/>
            <w:shd w:val="clear" w:color="auto" w:fill="auto"/>
            <w:vAlign w:val="center"/>
          </w:tcPr>
          <w:p>
            <w:pPr>
              <w:pStyle w:val="Normal(Web)"/>
              <w:divId w:val="589"/>
              <w:rPr>
                <w:vanish w:val="0"/>
              </w:rPr>
            </w:pPr>
            <w:r>
              <w:t xml:space="preserve">≥</w:t>
            </w:r>
          </w:p>
        </w:tc>
      </w:tr>
      <w:tr>
        <w:trPr>
          <w:jc w:val="left"/>
        </w:trPr>
        <w:tc>
          <w:tcPr>
            <w:tcW w:w="0" w:type="auto"/>
            <w:shd w:val="clear" w:color="auto" w:fill="auto"/>
            <w:vAlign w:val="center"/>
          </w:tcPr>
          <w:p>
            <w:pPr>
              <w:pStyle w:val="Normal(Web)"/>
              <w:divId w:val="590"/>
              <w:rPr>
                <w:vanish w:val="0"/>
              </w:rPr>
            </w:pPr>
            <w:r>
              <w:t xml:space="preserve">16.1.1.1.</w:t>
            </w:r>
          </w:p>
        </w:tc>
        <w:tc>
          <w:tcPr>
            <w:tcW w:w="0" w:type="auto"/>
            <w:shd w:val="clear" w:color="auto" w:fill="auto"/>
            <w:vAlign w:val="center"/>
          </w:tcPr>
          <w:p>
            <w:pPr>
              <w:pStyle w:val="Normal(Web)"/>
              <w:divId w:val="591"/>
              <w:rPr>
                <w:vanish w:val="0"/>
              </w:rPr>
            </w:pPr>
            <w:r>
              <w:t xml:space="preserve">Chênh lệch giữa 2 bên bánh</w:t>
            </w:r>
          </w:p>
        </w:tc>
        <w:tc>
          <w:tcPr>
            <w:tcW w:w="0" w:type="auto"/>
            <w:shd w:val="clear" w:color="auto" w:fill="auto"/>
            <w:vAlign w:val="center"/>
          </w:tcPr>
          <w:p>
            <w:pPr>
              <w:pStyle w:val="Normal(Web)"/>
              <w:divId w:val="592"/>
              <w:jc w:val="center"/>
              <w:rPr>
                <w:vanish w:val="0"/>
              </w:rPr>
            </w:pPr>
            <w:r>
              <w:t xml:space="preserve">%</w:t>
            </w:r>
          </w:p>
        </w:tc>
        <w:tc>
          <w:tcPr>
            <w:tcW w:w="0" w:type="auto"/>
            <w:shd w:val="clear" w:color="auto" w:fill="auto"/>
            <w:vAlign w:val="center"/>
          </w:tcPr>
          <w:p>
            <w:pPr>
              <w:pStyle w:val="Normal(Web)"/>
              <w:divId w:val="593"/>
              <w:rPr>
                <w:vanish w:val="0"/>
              </w:rPr>
            </w:pPr>
            <w:r>
              <w:t xml:space="preserve">≤</w:t>
            </w:r>
          </w:p>
        </w:tc>
      </w:tr>
      <w:tr>
        <w:trPr>
          <w:jc w:val="left"/>
        </w:trPr>
        <w:tc>
          <w:tcPr>
            <w:tcW w:w="0" w:type="auto"/>
            <w:shd w:val="clear" w:color="auto" w:fill="auto"/>
            <w:vAlign w:val="center"/>
          </w:tcPr>
          <w:p>
            <w:pPr>
              <w:pStyle w:val="Normal(Web)"/>
              <w:divId w:val="594"/>
              <w:rPr>
                <w:vanish w:val="0"/>
              </w:rPr>
            </w:pPr>
            <w:r>
              <w:t xml:space="preserve">16.1.2.</w:t>
            </w:r>
          </w:p>
        </w:tc>
        <w:tc>
          <w:tcPr>
            <w:tcW w:w="0" w:type="auto"/>
            <w:shd w:val="clear" w:color="auto" w:fill="auto"/>
            <w:vAlign w:val="center"/>
          </w:tcPr>
          <w:p>
            <w:pPr>
              <w:pStyle w:val="Normal(Web)"/>
              <w:divId w:val="595"/>
              <w:rPr>
                <w:vanish w:val="0"/>
              </w:rPr>
            </w:pPr>
            <w:r>
              <w:t xml:space="preserve">Trục 2</w:t>
            </w:r>
          </w:p>
        </w:tc>
        <w:tc>
          <w:tcPr>
            <w:tcW w:w="0" w:type="auto"/>
            <w:shd w:val="clear" w:color="auto" w:fill="auto"/>
            <w:vAlign w:val="center"/>
          </w:tcPr>
          <w:p>
            <w:pPr>
              <w:pStyle w:val="Normal(Web)"/>
              <w:divId w:val="596"/>
              <w:jc w:val="center"/>
              <w:rPr>
                <w:vanish w:val="0"/>
              </w:rPr>
            </w:pPr>
            <w:r>
              <w:t xml:space="preserve">N</w:t>
            </w:r>
          </w:p>
        </w:tc>
        <w:tc>
          <w:tcPr>
            <w:tcW w:w="0" w:type="auto"/>
            <w:shd w:val="clear" w:color="auto" w:fill="auto"/>
            <w:vAlign w:val="center"/>
          </w:tcPr>
          <w:p>
            <w:pPr>
              <w:pStyle w:val="Normal(Web)"/>
              <w:divId w:val="597"/>
              <w:rPr>
                <w:vanish w:val="0"/>
              </w:rPr>
            </w:pPr>
            <w:r>
              <w:t xml:space="preserve">≥</w:t>
            </w:r>
          </w:p>
        </w:tc>
      </w:tr>
      <w:tr>
        <w:trPr>
          <w:jc w:val="left"/>
        </w:trPr>
        <w:tc>
          <w:tcPr>
            <w:tcW w:w="0" w:type="auto"/>
            <w:shd w:val="clear" w:color="auto" w:fill="auto"/>
            <w:vAlign w:val="center"/>
          </w:tcPr>
          <w:p>
            <w:pPr>
              <w:pStyle w:val="Normal(Web)"/>
              <w:divId w:val="598"/>
              <w:rPr>
                <w:vanish w:val="0"/>
              </w:rPr>
            </w:pPr>
            <w:r>
              <w:t xml:space="preserve">16.1.2.1.</w:t>
            </w:r>
          </w:p>
        </w:tc>
        <w:tc>
          <w:tcPr>
            <w:tcW w:w="0" w:type="auto"/>
            <w:shd w:val="clear" w:color="auto" w:fill="auto"/>
            <w:vAlign w:val="center"/>
          </w:tcPr>
          <w:p>
            <w:pPr>
              <w:pStyle w:val="Normal(Web)"/>
              <w:divId w:val="599"/>
              <w:rPr>
                <w:vanish w:val="0"/>
              </w:rPr>
            </w:pPr>
            <w:r>
              <w:t xml:space="preserve">Chênh lệch giữa 2 bên bánh</w:t>
            </w:r>
          </w:p>
        </w:tc>
        <w:tc>
          <w:tcPr>
            <w:tcW w:w="0" w:type="auto"/>
            <w:shd w:val="clear" w:color="auto" w:fill="auto"/>
            <w:vAlign w:val="center"/>
          </w:tcPr>
          <w:p>
            <w:pPr>
              <w:pStyle w:val="Normal(Web)"/>
              <w:divId w:val="600"/>
              <w:jc w:val="center"/>
              <w:rPr>
                <w:vanish w:val="0"/>
              </w:rPr>
            </w:pPr>
            <w:r>
              <w:t xml:space="preserve">%</w:t>
            </w:r>
          </w:p>
        </w:tc>
        <w:tc>
          <w:tcPr>
            <w:tcW w:w="0" w:type="auto"/>
            <w:shd w:val="clear" w:color="auto" w:fill="auto"/>
            <w:vAlign w:val="center"/>
          </w:tcPr>
          <w:p>
            <w:pPr>
              <w:pStyle w:val="Normal(Web)"/>
              <w:divId w:val="601"/>
              <w:rPr>
                <w:vanish w:val="0"/>
              </w:rPr>
            </w:pPr>
            <w:r>
              <w:t xml:space="preserve">≤</w:t>
            </w:r>
          </w:p>
        </w:tc>
      </w:tr>
      <w:tr>
        <w:trPr>
          <w:jc w:val="left"/>
        </w:trPr>
        <w:tc>
          <w:tcPr>
            <w:tcW w:w="0" w:type="auto"/>
            <w:shd w:val="clear" w:color="auto" w:fill="auto"/>
            <w:vAlign w:val="center"/>
          </w:tcPr>
          <w:p>
            <w:pPr>
              <w:pStyle w:val="Normal(Web)"/>
              <w:divId w:val="602"/>
              <w:rPr>
                <w:vanish w:val="0"/>
              </w:rPr>
            </w:pPr>
            <w:r>
              <w:t xml:space="preserve">16.2.</w:t>
            </w:r>
          </w:p>
        </w:tc>
        <w:tc>
          <w:tcPr>
            <w:tcW w:w="0" w:type="auto"/>
            <w:shd w:val="clear" w:color="auto" w:fill="auto"/>
            <w:vAlign w:val="center"/>
          </w:tcPr>
          <w:p>
            <w:pPr>
              <w:pStyle w:val="Normal(Web)"/>
              <w:divId w:val="603"/>
              <w:rPr>
                <w:vanish w:val="0"/>
              </w:rPr>
            </w:pPr>
            <w:r>
              <w:t xml:space="preserve">Phanh đỗ</w:t>
            </w:r>
          </w:p>
        </w:tc>
        <w:tc>
          <w:tcPr>
            <w:tcW w:w="0" w:type="auto"/>
            <w:shd w:val="clear" w:color="auto" w:fill="auto"/>
            <w:vAlign w:val="center"/>
          </w:tcPr>
          <w:p>
            <w:pPr>
              <w:pStyle w:val="Normal(Web)"/>
              <w:divId w:val="604"/>
              <w:jc w:val="center"/>
              <w:rPr>
                <w:vanish w:val="0"/>
              </w:rPr>
            </w:pPr>
            <w:r>
              <w:t xml:space="preserve">N</w:t>
            </w:r>
          </w:p>
        </w:tc>
        <w:tc>
          <w:tcPr>
            <w:tcW w:w="0" w:type="auto"/>
            <w:shd w:val="clear" w:color="auto" w:fill="auto"/>
            <w:vAlign w:val="center"/>
          </w:tcPr>
          <w:p>
            <w:pPr>
              <w:pStyle w:val="Normal(Web)"/>
              <w:divId w:val="605"/>
              <w:rPr>
                <w:vanish w:val="0"/>
              </w:rPr>
            </w:pPr>
            <w:r>
              <w:t xml:space="preserve">≥</w:t>
            </w:r>
          </w:p>
        </w:tc>
      </w:tr>
      <w:tr>
        <w:trPr>
          <w:jc w:val="left"/>
        </w:trPr>
        <w:tc>
          <w:tcPr>
            <w:tcW w:w="0" w:type="auto"/>
            <w:shd w:val="clear" w:color="auto" w:fill="auto"/>
            <w:vAlign w:val="center"/>
          </w:tcPr>
          <w:p>
            <w:pPr>
              <w:pStyle w:val="Normal(Web)"/>
              <w:divId w:val="606"/>
              <w:rPr>
                <w:vanish w:val="0"/>
              </w:rPr>
            </w:pPr>
            <w:r>
              <w:t xml:space="preserve">16.3.</w:t>
            </w:r>
          </w:p>
        </w:tc>
        <w:tc>
          <w:tcPr>
            <w:tcW w:w="0" w:type="auto"/>
            <w:shd w:val="clear" w:color="auto" w:fill="auto"/>
            <w:vAlign w:val="center"/>
          </w:tcPr>
          <w:p>
            <w:pPr>
              <w:pStyle w:val="Normal(Web)"/>
              <w:divId w:val="607"/>
              <w:rPr>
                <w:vanish w:val="0"/>
              </w:rPr>
            </w:pPr>
            <w:r>
              <w:t xml:space="preserve">Độ trượt ngang bánh xe dẫn hướng</w:t>
            </w:r>
          </w:p>
        </w:tc>
        <w:tc>
          <w:tcPr>
            <w:tcW w:w="0" w:type="auto"/>
            <w:shd w:val="clear" w:color="auto" w:fill="auto"/>
            <w:vAlign w:val="center"/>
          </w:tcPr>
          <w:p>
            <w:pPr>
              <w:pStyle w:val="Normal(Web)"/>
              <w:divId w:val="608"/>
              <w:jc w:val="center"/>
              <w:rPr>
                <w:vanish w:val="0"/>
              </w:rPr>
            </w:pPr>
            <w:r>
              <w:t xml:space="preserve">m/km</w:t>
            </w:r>
          </w:p>
        </w:tc>
      </w:tr>
      <w:tr>
        <w:trPr>
          <w:jc w:val="left"/>
        </w:trPr>
        <w:tc>
          <w:tcPr>
            <w:tcW w:w="0" w:type="auto"/>
            <w:shd w:val="clear" w:color="auto" w:fill="auto"/>
            <w:vAlign w:val="center"/>
          </w:tcPr>
          <w:p>
            <w:pPr>
              <w:pStyle w:val="Normal(Web)"/>
              <w:divId w:val="609"/>
              <w:rPr>
                <w:vanish w:val="0"/>
              </w:rPr>
            </w:pPr>
            <w:r>
              <w:t xml:space="preserve">16.4.</w:t>
            </w:r>
          </w:p>
        </w:tc>
        <w:tc>
          <w:tcPr>
            <w:tcW w:w="0" w:type="auto"/>
            <w:shd w:val="clear" w:color="auto" w:fill="auto"/>
            <w:vAlign w:val="center"/>
          </w:tcPr>
          <w:p>
            <w:pPr>
              <w:pStyle w:val="Normal(Web)"/>
              <w:divId w:val="610"/>
              <w:rPr>
                <w:vanish w:val="0"/>
              </w:rPr>
            </w:pPr>
            <w:r>
              <w:t xml:space="preserve">Âm lượng còi</w:t>
            </w:r>
          </w:p>
        </w:tc>
        <w:tc>
          <w:tcPr>
            <w:tcW w:w="0" w:type="auto"/>
            <w:shd w:val="clear" w:color="auto" w:fill="auto"/>
            <w:vAlign w:val="center"/>
          </w:tcPr>
          <w:p>
            <w:pPr>
              <w:pStyle w:val="Normal(Web)"/>
              <w:divId w:val="611"/>
              <w:jc w:val="center"/>
              <w:rPr>
                <w:vanish w:val="0"/>
              </w:rPr>
            </w:pPr>
            <w:r>
              <w:t xml:space="preserve">dB(A)</w:t>
            </w:r>
          </w:p>
        </w:tc>
      </w:tr>
      <w:tr>
        <w:trPr>
          <w:jc w:val="left"/>
        </w:trPr>
        <w:tc>
          <w:tcPr>
            <w:tcW w:w="0" w:type="auto"/>
            <w:shd w:val="clear" w:color="auto" w:fill="auto"/>
            <w:vAlign w:val="center"/>
          </w:tcPr>
          <w:p>
            <w:pPr>
              <w:pStyle w:val="Normal(Web)"/>
              <w:divId w:val="612"/>
              <w:rPr>
                <w:vanish w:val="0"/>
              </w:rPr>
            </w:pPr>
            <w:r>
              <w:t xml:space="preserve">16.5.</w:t>
            </w:r>
          </w:p>
        </w:tc>
        <w:tc>
          <w:tcPr>
            <w:tcW w:w="0" w:type="auto"/>
            <w:shd w:val="clear" w:color="auto" w:fill="auto"/>
            <w:vAlign w:val="center"/>
          </w:tcPr>
          <w:p>
            <w:pPr>
              <w:pStyle w:val="Normal(Web)"/>
              <w:divId w:val="613"/>
              <w:rPr>
                <w:vanish w:val="0"/>
              </w:rPr>
            </w:pPr>
            <w:r>
              <w:t xml:space="preserve">Sai số đồng hồ tốc độ</w:t>
            </w:r>
          </w:p>
        </w:tc>
        <w:tc>
          <w:tcPr>
            <w:tcW w:w="0" w:type="auto"/>
            <w:shd w:val="clear" w:color="auto" w:fill="auto"/>
            <w:vAlign w:val="center"/>
          </w:tcPr>
          <w:p>
            <w:pPr>
              <w:pStyle w:val="Normal(Web)"/>
              <w:divId w:val="614"/>
              <w:jc w:val="center"/>
              <w:rPr>
                <w:vanish w:val="0"/>
              </w:rPr>
            </w:pPr>
            <w:r>
              <w:t xml:space="preserve">%</w:t>
            </w:r>
          </w:p>
        </w:tc>
      </w:tr>
      <w:tr>
        <w:trPr>
          <w:jc w:val="left"/>
        </w:trPr>
        <w:tc>
          <w:tcPr>
            <w:tcW w:w="0" w:type="auto"/>
            <w:shd w:val="clear" w:color="auto" w:fill="auto"/>
            <w:vAlign w:val="center"/>
          </w:tcPr>
          <w:p>
            <w:pPr>
              <w:pStyle w:val="Normal(Web)"/>
              <w:divId w:val="615"/>
              <w:rPr>
                <w:vanish w:val="0"/>
              </w:rPr>
            </w:pPr>
            <w:r>
              <w:t xml:space="preserve">16.6.</w:t>
            </w:r>
          </w:p>
        </w:tc>
        <w:tc>
          <w:tcPr>
            <w:tcW w:w="0" w:type="auto"/>
            <w:shd w:val="clear" w:color="auto" w:fill="auto"/>
            <w:vAlign w:val="center"/>
          </w:tcPr>
          <w:p>
            <w:pPr>
              <w:pStyle w:val="Normal(Web)"/>
              <w:divId w:val="616"/>
              <w:rPr>
                <w:vanish w:val="0"/>
              </w:rPr>
            </w:pPr>
            <w:r>
              <w:t xml:space="preserve">Thành phần khí thải</w:t>
            </w:r>
          </w:p>
        </w:tc>
        <w:tc>
          <w:tcPr>
            <w:tcW w:w="0" w:type="auto"/>
            <w:shd w:val="clear" w:color="auto" w:fill="auto"/>
            <w:vAlign w:val="center"/>
          </w:tcPr>
          <w:p>
            <w:pPr>
              <w:pStyle w:val="Normal(Web)"/>
              <w:divId w:val="617"/>
              <w:jc w:val="center"/>
              <w:rPr>
                <w:vanish w:val="0"/>
              </w:rPr>
            </w:pPr>
            <w:r>
              <w:t xml:space="preserve">%CO</w:t>
            </w:r>
          </w:p>
        </w:tc>
        <w:tc>
          <w:tcPr>
            <w:tcW w:w="0" w:type="auto"/>
            <w:shd w:val="clear" w:color="auto" w:fill="auto"/>
            <w:vAlign w:val="center"/>
          </w:tcPr>
          <w:p>
            <w:pPr>
              <w:pStyle w:val="Normal(Web)"/>
              <w:divId w:val="618"/>
              <w:rPr>
                <w:vanish w:val="0"/>
              </w:rPr>
            </w:pPr>
            <w:r>
              <w:t xml:space="preserve">≤</w:t>
            </w:r>
          </w:p>
        </w:tc>
      </w:tr>
      <w:tr>
        <w:trPr>
          <w:jc w:val="left"/>
        </w:trPr>
        <w:tc>
          <w:tcPr>
            <w:tcW w:w="0" w:type="auto"/>
            <w:shd w:val="clear" w:color="auto" w:fill="auto"/>
            <w:vAlign w:val="center"/>
          </w:tcPr>
          <w:p>
            <w:pPr>
              <w:pStyle w:val="Normal(Web)"/>
              <w:divId w:val="619"/>
              <w:jc w:val="center"/>
              <w:rPr>
                <w:vanish w:val="0"/>
              </w:rPr>
            </w:pPr>
            <w:r>
              <w:t xml:space="preserve">ppm HC</w:t>
            </w:r>
          </w:p>
        </w:tc>
        <w:tc>
          <w:tcPr>
            <w:tcW w:w="0" w:type="auto"/>
            <w:shd w:val="clear" w:color="auto" w:fill="auto"/>
            <w:vAlign w:val="center"/>
          </w:tcPr>
          <w:p>
            <w:pPr>
              <w:pStyle w:val="Normal(Web)"/>
              <w:divId w:val="620"/>
              <w:rPr>
                <w:vanish w:val="0"/>
              </w:rPr>
            </w:pPr>
            <w:r>
              <w:t xml:space="preserve">≤</w:t>
            </w:r>
          </w:p>
        </w:tc>
      </w:tr>
      <w:tr>
        <w:trPr>
          <w:jc w:val="left"/>
        </w:trPr>
        <w:tc>
          <w:tcPr>
            <w:tcW w:w="0" w:type="auto"/>
            <w:shd w:val="clear" w:color="auto" w:fill="auto"/>
            <w:vAlign w:val="center"/>
          </w:tcPr>
          <w:p>
            <w:pPr>
              <w:pStyle w:val="Normal(Web)"/>
              <w:divId w:val="621"/>
              <w:jc w:val="center"/>
              <w:rPr>
                <w:vanish w:val="0"/>
              </w:rPr>
            </w:pPr>
            <w:r>
              <w:t xml:space="preserve">% HSU</w:t>
            </w:r>
          </w:p>
        </w:tc>
        <w:tc>
          <w:tcPr>
            <w:tcW w:w="0" w:type="auto"/>
            <w:shd w:val="clear" w:color="auto" w:fill="auto"/>
            <w:vAlign w:val="center"/>
          </w:tcPr>
          <w:p>
            <w:pPr>
              <w:pStyle w:val="Normal(Web)"/>
              <w:divId w:val="622"/>
              <w:rPr>
                <w:vanish w:val="0"/>
              </w:rPr>
            </w:pPr>
            <w:r>
              <w:t xml:space="preserve">≤</w:t>
            </w:r>
          </w:p>
        </w:tc>
      </w:tr>
      <w:tr>
        <w:trPr>
          <w:jc w:val="left"/>
        </w:trPr>
        <w:tc>
          <w:tcPr>
            <w:tcW w:w="0" w:type="auto"/>
            <w:shd w:val="clear" w:color="auto" w:fill="auto"/>
            <w:vAlign w:val="center"/>
          </w:tcPr>
          <w:p>
            <w:pPr>
              <w:pStyle w:val="Normal(Web)"/>
              <w:divId w:val="623"/>
              <w:rPr>
                <w:vanish w:val="0"/>
              </w:rPr>
            </w:pPr>
            <w:r>
              <w:t xml:space="preserve">16.7.</w:t>
            </w:r>
          </w:p>
        </w:tc>
        <w:tc>
          <w:tcPr>
            <w:tcW w:w="0" w:type="auto"/>
            <w:shd w:val="clear" w:color="auto" w:fill="auto"/>
            <w:vAlign w:val="center"/>
          </w:tcPr>
          <w:p>
            <w:pPr>
              <w:pStyle w:val="Normal(Web)"/>
              <w:divId w:val="624"/>
              <w:rPr>
                <w:vanish w:val="0"/>
              </w:rPr>
            </w:pPr>
            <w:r>
              <w:t xml:space="preserve">Độ ồn</w:t>
            </w:r>
          </w:p>
        </w:tc>
        <w:tc>
          <w:tcPr>
            <w:tcW w:w="0" w:type="auto"/>
            <w:shd w:val="clear" w:color="auto" w:fill="auto"/>
            <w:vAlign w:val="center"/>
          </w:tcPr>
          <w:p>
            <w:pPr>
              <w:pStyle w:val="Normal(Web)"/>
              <w:divId w:val="625"/>
              <w:jc w:val="center"/>
              <w:rPr>
                <w:vanish w:val="0"/>
              </w:rPr>
            </w:pPr>
            <w:r>
              <w:t xml:space="preserve">dB(A)</w:t>
            </w:r>
          </w:p>
        </w:tc>
        <w:tc>
          <w:tcPr>
            <w:tcW w:w="0" w:type="auto"/>
            <w:shd w:val="clear" w:color="auto" w:fill="auto"/>
            <w:vAlign w:val="center"/>
          </w:tcPr>
          <w:p>
            <w:pPr>
              <w:pStyle w:val="Normal(Web)"/>
              <w:divId w:val="626"/>
              <w:rPr>
                <w:vanish w:val="0"/>
              </w:rPr>
            </w:pPr>
            <w:r>
              <w:t xml:space="preserve">≤</w:t>
            </w:r>
          </w:p>
        </w:tc>
      </w:tr>
    </w:tbl>
    <w:p>
      <w:pPr>
        <w:pStyle w:val="Normal(Web)"/>
        <w:divId w:val="627"/>
        <w:rPr>
          <w:vanish w:val="0"/>
        </w:rPr>
      </w:pPr>
      <w:r>
        <w:rPr>
          <w:b/>
          <w:i/>
        </w:rPr>
        <w:t xml:space="preserve">Ghi chú:</w:t>
      </w:r>
    </w:p>
    <w:p>
      <w:pPr>
        <w:pStyle w:val="Normal(Web)"/>
        <w:divId w:val="628"/>
        <w:rPr>
          <w:vanish w:val="0"/>
        </w:rPr>
      </w:pPr>
      <w:r>
        <w:rPr>
          <w:b/>
          <w:vertAlign w:val="superscript"/>
        </w:rPr>
        <w:t xml:space="preserve">(1)</w:t>
      </w:r>
      <w:r>
        <w:rPr>
          <w:b/>
        </w:rPr>
        <w:t xml:space="preserve"> : Chỉ áp dụng đối với Xe nhập khẩu.</w:t>
      </w:r>
    </w:p>
    <w:p>
      <w:pPr>
        <w:pStyle w:val="Normal(Web)"/>
        <w:divId w:val="629"/>
        <w:rPr>
          <w:vanish w:val="0"/>
        </w:rPr>
      </w:pPr>
      <w:r>
        <w:rPr>
          <w:b/>
          <w:vertAlign w:val="superscript"/>
        </w:rPr>
        <w:t xml:space="preserve">(2)</w:t>
      </w:r>
      <w:r>
        <w:rPr>
          <w:b/>
        </w:rPr>
        <w:t xml:space="preserve"> : Chỉ áp dụng đối </w:t>
      </w:r>
      <w:r>
        <w:rPr>
          <w:b/>
        </w:rPr>
        <w:t xml:space="preserve">với</w:t>
      </w:r>
      <w:r>
        <w:rPr>
          <w:b/>
        </w:rPr>
        <w:t xml:space="preserve"> Xe sản xuất, lắp ráp.</w:t>
      </w:r>
    </w:p>
    <w:p>
      <w:pPr>
        <w:pStyle w:val="Normal(Web)"/>
        <w:divId w:val="630"/>
        <w:rPr>
          <w:vanish w:val="0"/>
        </w:rPr>
      </w:pPr>
      <w:r>
        <w:rPr>
          <w:b/>
          <w:vertAlign w:val="superscript"/>
        </w:rPr>
        <w:t xml:space="preserve">(3)</w:t>
      </w:r>
      <w:r>
        <w:rPr>
          <w:b/>
        </w:rPr>
        <w:t xml:space="preserve"> : Chỉ áp dụng đối </w:t>
      </w:r>
      <w:r>
        <w:rPr>
          <w:b/>
        </w:rPr>
        <w:t xml:space="preserve">với</w:t>
      </w:r>
      <w:r>
        <w:rPr>
          <w:b/>
        </w:rPr>
        <w:t xml:space="preserve"> Xe sử dụng động cơ điện.</w:t>
      </w:r>
    </w:p>
    <w:p>
      <w:pPr>
        <w:pStyle w:val="Normal(Web)"/>
        <w:divId w:val="631"/>
        <w:rPr>
          <w:vanish w:val="0"/>
        </w:rPr>
      </w:pPr>
      <w:r>
        <w:rPr>
          <w:b/>
          <w:vertAlign w:val="superscript"/>
        </w:rPr>
        <w:t xml:space="preserve">(4)</w:t>
      </w:r>
      <w:r>
        <w:rPr>
          <w:b/>
        </w:rPr>
        <w:t xml:space="preserve"> : Không bắt buộc áp dụng đối </w:t>
      </w:r>
      <w:r>
        <w:rPr>
          <w:b/>
        </w:rPr>
        <w:t xml:space="preserve">với</w:t>
      </w:r>
      <w:r>
        <w:rPr>
          <w:b/>
        </w:rPr>
        <w:t xml:space="preserve"> Xe không tham gia giao thông.</w:t>
      </w:r>
    </w:p>
    <w:p>
      <w:pPr>
        <w:pStyle w:val="Normal(Web)"/>
        <w:divId w:val="632"/>
        <w:rPr>
          <w:vanish w:val="0"/>
        </w:rPr>
      </w:pPr>
      <w:r>
        <w:rPr>
          <w:b/>
          <w:i/>
        </w:rPr>
        <w:t xml:space="preserve">Chúng tôi cam kết Bản đăng ký thông số kỹ thuật này phù hợp với kiểu loại Xe đã đăng ký và chịu hoàn toàn trách nhiệm về các vấn đề phát sinh do khai sai hoặc khai không đủ nội dung trong Bản đăng ký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633"/>
              <w:jc w:val="center"/>
              <w:rPr>
                <w:vanish w:val="0"/>
              </w:rPr>
            </w:pPr>
            <w:r>
              <w:rPr>
                <w:b/>
              </w:rPr>
              <w:t xml:space="preserve">Cơ sở sản xuất/</w:t>
            </w:r>
            <w:r>
              <w:rPr>
                <w:b/>
              </w:rPr>
              <w:t xml:space="preserve">Cơ sở nhập khẩu</w:t>
            </w:r>
            <w:r>
              <w:rPr>
                <w:b/>
                <w:i/>
              </w:rPr>
              <w:t xml:space="preserve">(Manu</w:t>
            </w:r>
            <w:r>
              <w:rPr>
                <w:b/>
                <w:i/>
              </w:rPr>
              <w:t xml:space="preserve">facturer/Importer)</w:t>
            </w:r>
          </w:p>
        </w:tc>
      </w:tr>
    </w:tbl>
    <w:p>
      <w:pPr>
        <w:pStyle w:val="Normal(Web)"/>
        <w:divId w:val="634"/>
        <w:jc w:val="center"/>
        <w:rPr>
          <w:vanish w:val="0"/>
        </w:rPr>
      </w:pPr>
      <w:r>
        <w:t xml:space="preserve">PHỤ LỤC III</w:t>
      </w:r>
    </w:p>
    <w:p>
      <w:pPr>
        <w:pStyle w:val="Normal(Web)"/>
        <w:divId w:val="635"/>
        <w:jc w:val="center"/>
        <w:rPr>
          <w:vanish w:val="0"/>
        </w:rPr>
      </w:pPr>
      <w:r>
        <w:t xml:space="preserve">DANH MỤC CÁC THIẾT BỊ TỐI THIỂU CẦN THIẾT ĐỂ KI</w:t>
      </w:r>
      <w:r>
        <w:rPr>
          <w:b/>
        </w:rPr>
        <w:t xml:space="preserve">Ể</w:t>
      </w:r>
      <w:r>
        <w:rPr>
          <w:b/>
        </w:rPr>
        <w:br/>
      </w:r>
      <w:r>
        <w:rPr>
          <w:b/>
          <w:i/>
        </w:rPr>
        <w:t xml:space="preserve">(Ban hành kèm theo Thông tư số 86/2014/TT-BGTVT ngày 31</w:t>
      </w:r>
      <w:r>
        <w:rPr>
          <w:b/>
          <w:i/>
        </w:rPr>
        <w:t xml:space="preserve">tháng</w:t>
      </w:r>
      <w:r>
        <w:rPr>
          <w:b/>
          <w:i/>
        </w:rPr>
        <w:t xml:space="preserve"> 12 năm 2014 của Bộ trưởng Bộ Giao thông vận tải)</w:t>
      </w: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 w:id="198">
          <w:marLeft w:val="0"/>
          <w:marRight w:val="0"/>
          <w:marTop w:val="-20"/>
          <w:marBottom w:val="-20"/>
          <w:divBdr>
            <w:top w:val="none" w:sz="0" w:space="0" w:color="auto"/>
            <w:left w:val="none" w:sz="0" w:space="0" w:color="auto"/>
            <w:bottom w:val="none" w:sz="0" w:space="0" w:color="auto"/>
            <w:right w:val="none" w:sz="0" w:space="0" w:color="auto"/>
          </w:divBdr>
        </w:div>
        <w:div w:id="199">
          <w:marLeft w:val="0"/>
          <w:marRight w:val="0"/>
          <w:marTop w:val="-20"/>
          <w:marBottom w:val="-20"/>
          <w:divBdr>
            <w:top w:val="none" w:sz="0" w:space="0" w:color="auto"/>
            <w:left w:val="none" w:sz="0" w:space="0" w:color="auto"/>
            <w:bottom w:val="none" w:sz="0" w:space="0" w:color="auto"/>
            <w:right w:val="none" w:sz="0" w:space="0" w:color="auto"/>
          </w:divBdr>
        </w:div>
        <w:div w:id="200">
          <w:marLeft w:val="0"/>
          <w:marRight w:val="0"/>
          <w:marTop w:val="-20"/>
          <w:marBottom w:val="-20"/>
          <w:divBdr>
            <w:top w:val="none" w:sz="0" w:space="0" w:color="auto"/>
            <w:left w:val="none" w:sz="0" w:space="0" w:color="auto"/>
            <w:bottom w:val="none" w:sz="0" w:space="0" w:color="auto"/>
            <w:right w:val="none" w:sz="0" w:space="0" w:color="auto"/>
          </w:divBdr>
        </w:div>
        <w:div w:id="201">
          <w:marLeft w:val="0"/>
          <w:marRight w:val="0"/>
          <w:marTop w:val="-20"/>
          <w:marBottom w:val="-20"/>
          <w:divBdr>
            <w:top w:val="none" w:sz="0" w:space="0" w:color="auto"/>
            <w:left w:val="none" w:sz="0" w:space="0" w:color="auto"/>
            <w:bottom w:val="none" w:sz="0" w:space="0" w:color="auto"/>
            <w:right w:val="none" w:sz="0" w:space="0" w:color="auto"/>
          </w:divBdr>
        </w:div>
        <w:div w:id="202">
          <w:marLeft w:val="0"/>
          <w:marRight w:val="0"/>
          <w:marTop w:val="-20"/>
          <w:marBottom w:val="-20"/>
          <w:divBdr>
            <w:top w:val="none" w:sz="0" w:space="0" w:color="auto"/>
            <w:left w:val="none" w:sz="0" w:space="0" w:color="auto"/>
            <w:bottom w:val="none" w:sz="0" w:space="0" w:color="auto"/>
            <w:right w:val="none" w:sz="0" w:space="0" w:color="auto"/>
          </w:divBdr>
        </w:div>
        <w:div w:id="203">
          <w:marLeft w:val="0"/>
          <w:marRight w:val="0"/>
          <w:marTop w:val="-20"/>
          <w:marBottom w:val="-20"/>
          <w:divBdr>
            <w:top w:val="none" w:sz="0" w:space="0" w:color="auto"/>
            <w:left w:val="none" w:sz="0" w:space="0" w:color="auto"/>
            <w:bottom w:val="none" w:sz="0" w:space="0" w:color="auto"/>
            <w:right w:val="none" w:sz="0" w:space="0" w:color="auto"/>
          </w:divBdr>
        </w:div>
        <w:div w:id="204">
          <w:marLeft w:val="0"/>
          <w:marRight w:val="0"/>
          <w:marTop w:val="-20"/>
          <w:marBottom w:val="-20"/>
          <w:divBdr>
            <w:top w:val="none" w:sz="0" w:space="0" w:color="auto"/>
            <w:left w:val="none" w:sz="0" w:space="0" w:color="auto"/>
            <w:bottom w:val="none" w:sz="0" w:space="0" w:color="auto"/>
            <w:right w:val="none" w:sz="0" w:space="0" w:color="auto"/>
          </w:divBdr>
        </w:div>
        <w:div w:id="205">
          <w:marLeft w:val="0"/>
          <w:marRight w:val="0"/>
          <w:marTop w:val="-20"/>
          <w:marBottom w:val="-20"/>
          <w:divBdr>
            <w:top w:val="none" w:sz="0" w:space="0" w:color="auto"/>
            <w:left w:val="none" w:sz="0" w:space="0" w:color="auto"/>
            <w:bottom w:val="none" w:sz="0" w:space="0" w:color="auto"/>
            <w:right w:val="none" w:sz="0" w:space="0" w:color="auto"/>
          </w:divBdr>
        </w:div>
        <w:div w:id="206">
          <w:marLeft w:val="0"/>
          <w:marRight w:val="0"/>
          <w:marTop w:val="-20"/>
          <w:marBottom w:val="-20"/>
          <w:divBdr>
            <w:top w:val="none" w:sz="0" w:space="0" w:color="auto"/>
            <w:left w:val="none" w:sz="0" w:space="0" w:color="auto"/>
            <w:bottom w:val="none" w:sz="0" w:space="0" w:color="auto"/>
            <w:right w:val="none" w:sz="0" w:space="0" w:color="auto"/>
          </w:divBdr>
        </w:div>
        <w:div w:id="207">
          <w:marLeft w:val="0"/>
          <w:marRight w:val="0"/>
          <w:marTop w:val="-20"/>
          <w:marBottom w:val="-20"/>
          <w:divBdr>
            <w:top w:val="none" w:sz="0" w:space="0" w:color="auto"/>
            <w:left w:val="none" w:sz="0" w:space="0" w:color="auto"/>
            <w:bottom w:val="none" w:sz="0" w:space="0" w:color="auto"/>
            <w:right w:val="none" w:sz="0" w:space="0" w:color="auto"/>
          </w:divBdr>
        </w:div>
        <w:div w:id="208">
          <w:marLeft w:val="0"/>
          <w:marRight w:val="0"/>
          <w:marTop w:val="-20"/>
          <w:marBottom w:val="-20"/>
          <w:divBdr>
            <w:top w:val="none" w:sz="0" w:space="0" w:color="auto"/>
            <w:left w:val="none" w:sz="0" w:space="0" w:color="auto"/>
            <w:bottom w:val="none" w:sz="0" w:space="0" w:color="auto"/>
            <w:right w:val="none" w:sz="0" w:space="0" w:color="auto"/>
          </w:divBdr>
        </w:div>
        <w:div w:id="209">
          <w:marLeft w:val="0"/>
          <w:marRight w:val="0"/>
          <w:marTop w:val="-20"/>
          <w:marBottom w:val="-20"/>
          <w:divBdr>
            <w:top w:val="none" w:sz="0" w:space="0" w:color="auto"/>
            <w:left w:val="none" w:sz="0" w:space="0" w:color="auto"/>
            <w:bottom w:val="none" w:sz="0" w:space="0" w:color="auto"/>
            <w:right w:val="none" w:sz="0" w:space="0" w:color="auto"/>
          </w:divBdr>
        </w:div>
        <w:div w:id="210">
          <w:marLeft w:val="0"/>
          <w:marRight w:val="0"/>
          <w:marTop w:val="-20"/>
          <w:marBottom w:val="-20"/>
          <w:divBdr>
            <w:top w:val="none" w:sz="0" w:space="0" w:color="auto"/>
            <w:left w:val="none" w:sz="0" w:space="0" w:color="auto"/>
            <w:bottom w:val="none" w:sz="0" w:space="0" w:color="auto"/>
            <w:right w:val="none" w:sz="0" w:space="0" w:color="auto"/>
          </w:divBdr>
        </w:div>
        <w:div w:id="211">
          <w:marLeft w:val="0"/>
          <w:marRight w:val="0"/>
          <w:marTop w:val="-20"/>
          <w:marBottom w:val="-20"/>
          <w:divBdr>
            <w:top w:val="none" w:sz="0" w:space="0" w:color="auto"/>
            <w:left w:val="none" w:sz="0" w:space="0" w:color="auto"/>
            <w:bottom w:val="none" w:sz="0" w:space="0" w:color="auto"/>
            <w:right w:val="none" w:sz="0" w:space="0" w:color="auto"/>
          </w:divBdr>
        </w:div>
        <w:div w:id="212">
          <w:marLeft w:val="0"/>
          <w:marRight w:val="0"/>
          <w:marTop w:val="-20"/>
          <w:marBottom w:val="-20"/>
          <w:divBdr>
            <w:top w:val="none" w:sz="0" w:space="0" w:color="auto"/>
            <w:left w:val="none" w:sz="0" w:space="0" w:color="auto"/>
            <w:bottom w:val="none" w:sz="0" w:space="0" w:color="auto"/>
            <w:right w:val="none" w:sz="0" w:space="0" w:color="auto"/>
          </w:divBdr>
        </w:div>
        <w:div w:id="213">
          <w:marLeft w:val="0"/>
          <w:marRight w:val="0"/>
          <w:marTop w:val="-20"/>
          <w:marBottom w:val="-20"/>
          <w:divBdr>
            <w:top w:val="none" w:sz="0" w:space="0" w:color="auto"/>
            <w:left w:val="none" w:sz="0" w:space="0" w:color="auto"/>
            <w:bottom w:val="none" w:sz="0" w:space="0" w:color="auto"/>
            <w:right w:val="none" w:sz="0" w:space="0" w:color="auto"/>
          </w:divBdr>
        </w:div>
        <w:div w:id="214">
          <w:marLeft w:val="0"/>
          <w:marRight w:val="0"/>
          <w:marTop w:val="-20"/>
          <w:marBottom w:val="-20"/>
          <w:divBdr>
            <w:top w:val="none" w:sz="0" w:space="0" w:color="auto"/>
            <w:left w:val="none" w:sz="0" w:space="0" w:color="auto"/>
            <w:bottom w:val="none" w:sz="0" w:space="0" w:color="auto"/>
            <w:right w:val="none" w:sz="0" w:space="0" w:color="auto"/>
          </w:divBdr>
        </w:div>
        <w:div w:id="215">
          <w:marLeft w:val="0"/>
          <w:marRight w:val="0"/>
          <w:marTop w:val="-20"/>
          <w:marBottom w:val="-20"/>
          <w:divBdr>
            <w:top w:val="none" w:sz="0" w:space="0" w:color="auto"/>
            <w:left w:val="none" w:sz="0" w:space="0" w:color="auto"/>
            <w:bottom w:val="none" w:sz="0" w:space="0" w:color="auto"/>
            <w:right w:val="none" w:sz="0" w:space="0" w:color="auto"/>
          </w:divBdr>
        </w:div>
        <w:div w:id="216">
          <w:marLeft w:val="0"/>
          <w:marRight w:val="0"/>
          <w:marTop w:val="-20"/>
          <w:marBottom w:val="-20"/>
          <w:divBdr>
            <w:top w:val="none" w:sz="0" w:space="0" w:color="auto"/>
            <w:left w:val="none" w:sz="0" w:space="0" w:color="auto"/>
            <w:bottom w:val="none" w:sz="0" w:space="0" w:color="auto"/>
            <w:right w:val="none" w:sz="0" w:space="0" w:color="auto"/>
          </w:divBdr>
        </w:div>
        <w:div w:id="217">
          <w:marLeft w:val="0"/>
          <w:marRight w:val="0"/>
          <w:marTop w:val="-20"/>
          <w:marBottom w:val="-20"/>
          <w:divBdr>
            <w:top w:val="none" w:sz="0" w:space="0" w:color="auto"/>
            <w:left w:val="none" w:sz="0" w:space="0" w:color="auto"/>
            <w:bottom w:val="none" w:sz="0" w:space="0" w:color="auto"/>
            <w:right w:val="none" w:sz="0" w:space="0" w:color="auto"/>
          </w:divBdr>
        </w:div>
        <w:div w:id="218">
          <w:marLeft w:val="0"/>
          <w:marRight w:val="0"/>
          <w:marTop w:val="-20"/>
          <w:marBottom w:val="-20"/>
          <w:divBdr>
            <w:top w:val="none" w:sz="0" w:space="0" w:color="auto"/>
            <w:left w:val="none" w:sz="0" w:space="0" w:color="auto"/>
            <w:bottom w:val="none" w:sz="0" w:space="0" w:color="auto"/>
            <w:right w:val="none" w:sz="0" w:space="0" w:color="auto"/>
          </w:divBdr>
        </w:div>
        <w:div w:id="219">
          <w:marLeft w:val="0"/>
          <w:marRight w:val="0"/>
          <w:marTop w:val="-20"/>
          <w:marBottom w:val="-20"/>
          <w:divBdr>
            <w:top w:val="none" w:sz="0" w:space="0" w:color="auto"/>
            <w:left w:val="none" w:sz="0" w:space="0" w:color="auto"/>
            <w:bottom w:val="none" w:sz="0" w:space="0" w:color="auto"/>
            <w:right w:val="none" w:sz="0" w:space="0" w:color="auto"/>
          </w:divBdr>
        </w:div>
        <w:div w:id="220">
          <w:marLeft w:val="0"/>
          <w:marRight w:val="0"/>
          <w:marTop w:val="-20"/>
          <w:marBottom w:val="-20"/>
          <w:divBdr>
            <w:top w:val="none" w:sz="0" w:space="0" w:color="auto"/>
            <w:left w:val="none" w:sz="0" w:space="0" w:color="auto"/>
            <w:bottom w:val="none" w:sz="0" w:space="0" w:color="auto"/>
            <w:right w:val="none" w:sz="0" w:space="0" w:color="auto"/>
          </w:divBdr>
        </w:div>
        <w:div w:id="221">
          <w:marLeft w:val="0"/>
          <w:marRight w:val="0"/>
          <w:marTop w:val="-20"/>
          <w:marBottom w:val="-20"/>
          <w:divBdr>
            <w:top w:val="none" w:sz="0" w:space="0" w:color="auto"/>
            <w:left w:val="none" w:sz="0" w:space="0" w:color="auto"/>
            <w:bottom w:val="none" w:sz="0" w:space="0" w:color="auto"/>
            <w:right w:val="none" w:sz="0" w:space="0" w:color="auto"/>
          </w:divBdr>
        </w:div>
        <w:div w:id="222">
          <w:marLeft w:val="0"/>
          <w:marRight w:val="0"/>
          <w:marTop w:val="-20"/>
          <w:marBottom w:val="-20"/>
          <w:divBdr>
            <w:top w:val="none" w:sz="0" w:space="0" w:color="auto"/>
            <w:left w:val="none" w:sz="0" w:space="0" w:color="auto"/>
            <w:bottom w:val="none" w:sz="0" w:space="0" w:color="auto"/>
            <w:right w:val="none" w:sz="0" w:space="0" w:color="auto"/>
          </w:divBdr>
        </w:div>
        <w:div w:id="223">
          <w:marLeft w:val="0"/>
          <w:marRight w:val="0"/>
          <w:marTop w:val="-20"/>
          <w:marBottom w:val="-20"/>
          <w:divBdr>
            <w:top w:val="none" w:sz="0" w:space="0" w:color="auto"/>
            <w:left w:val="none" w:sz="0" w:space="0" w:color="auto"/>
            <w:bottom w:val="none" w:sz="0" w:space="0" w:color="auto"/>
            <w:right w:val="none" w:sz="0" w:space="0" w:color="auto"/>
          </w:divBdr>
        </w:div>
        <w:div w:id="224">
          <w:marLeft w:val="0"/>
          <w:marRight w:val="0"/>
          <w:marTop w:val="-20"/>
          <w:marBottom w:val="-20"/>
          <w:divBdr>
            <w:top w:val="none" w:sz="0" w:space="0" w:color="auto"/>
            <w:left w:val="none" w:sz="0" w:space="0" w:color="auto"/>
            <w:bottom w:val="none" w:sz="0" w:space="0" w:color="auto"/>
            <w:right w:val="none" w:sz="0" w:space="0" w:color="auto"/>
          </w:divBdr>
        </w:div>
        <w:div w:id="225">
          <w:marLeft w:val="0"/>
          <w:marRight w:val="0"/>
          <w:marTop w:val="-20"/>
          <w:marBottom w:val="-20"/>
          <w:divBdr>
            <w:top w:val="none" w:sz="0" w:space="0" w:color="auto"/>
            <w:left w:val="none" w:sz="0" w:space="0" w:color="auto"/>
            <w:bottom w:val="none" w:sz="0" w:space="0" w:color="auto"/>
            <w:right w:val="none" w:sz="0" w:space="0" w:color="auto"/>
          </w:divBdr>
        </w:div>
        <w:div w:id="226">
          <w:marLeft w:val="0"/>
          <w:marRight w:val="0"/>
          <w:marTop w:val="-20"/>
          <w:marBottom w:val="-20"/>
          <w:divBdr>
            <w:top w:val="none" w:sz="0" w:space="0" w:color="auto"/>
            <w:left w:val="none" w:sz="0" w:space="0" w:color="auto"/>
            <w:bottom w:val="none" w:sz="0" w:space="0" w:color="auto"/>
            <w:right w:val="none" w:sz="0" w:space="0" w:color="auto"/>
          </w:divBdr>
        </w:div>
        <w:div w:id="227">
          <w:marLeft w:val="0"/>
          <w:marRight w:val="0"/>
          <w:marTop w:val="-20"/>
          <w:marBottom w:val="-20"/>
          <w:divBdr>
            <w:top w:val="none" w:sz="0" w:space="0" w:color="auto"/>
            <w:left w:val="none" w:sz="0" w:space="0" w:color="auto"/>
            <w:bottom w:val="none" w:sz="0" w:space="0" w:color="auto"/>
            <w:right w:val="none" w:sz="0" w:space="0" w:color="auto"/>
          </w:divBdr>
        </w:div>
        <w:div w:id="228">
          <w:marLeft w:val="0"/>
          <w:marRight w:val="0"/>
          <w:marTop w:val="-20"/>
          <w:marBottom w:val="-20"/>
          <w:divBdr>
            <w:top w:val="none" w:sz="0" w:space="0" w:color="auto"/>
            <w:left w:val="none" w:sz="0" w:space="0" w:color="auto"/>
            <w:bottom w:val="none" w:sz="0" w:space="0" w:color="auto"/>
            <w:right w:val="none" w:sz="0" w:space="0" w:color="auto"/>
          </w:divBdr>
        </w:div>
        <w:div w:id="229">
          <w:marLeft w:val="0"/>
          <w:marRight w:val="0"/>
          <w:marTop w:val="-20"/>
          <w:marBottom w:val="-20"/>
          <w:divBdr>
            <w:top w:val="none" w:sz="0" w:space="0" w:color="auto"/>
            <w:left w:val="none" w:sz="0" w:space="0" w:color="auto"/>
            <w:bottom w:val="none" w:sz="0" w:space="0" w:color="auto"/>
            <w:right w:val="none" w:sz="0" w:space="0" w:color="auto"/>
          </w:divBdr>
        </w:div>
        <w:div w:id="230">
          <w:marLeft w:val="0"/>
          <w:marRight w:val="0"/>
          <w:marTop w:val="-20"/>
          <w:marBottom w:val="-20"/>
          <w:divBdr>
            <w:top w:val="none" w:sz="0" w:space="0" w:color="auto"/>
            <w:left w:val="none" w:sz="0" w:space="0" w:color="auto"/>
            <w:bottom w:val="none" w:sz="0" w:space="0" w:color="auto"/>
            <w:right w:val="none" w:sz="0" w:space="0" w:color="auto"/>
          </w:divBdr>
        </w:div>
        <w:div w:id="231">
          <w:marLeft w:val="0"/>
          <w:marRight w:val="0"/>
          <w:marTop w:val="-20"/>
          <w:marBottom w:val="-20"/>
          <w:divBdr>
            <w:top w:val="none" w:sz="0" w:space="0" w:color="auto"/>
            <w:left w:val="none" w:sz="0" w:space="0" w:color="auto"/>
            <w:bottom w:val="none" w:sz="0" w:space="0" w:color="auto"/>
            <w:right w:val="none" w:sz="0" w:space="0" w:color="auto"/>
          </w:divBdr>
        </w:div>
        <w:div w:id="232">
          <w:marLeft w:val="0"/>
          <w:marRight w:val="0"/>
          <w:marTop w:val="-20"/>
          <w:marBottom w:val="-20"/>
          <w:divBdr>
            <w:top w:val="none" w:sz="0" w:space="0" w:color="auto"/>
            <w:left w:val="none" w:sz="0" w:space="0" w:color="auto"/>
            <w:bottom w:val="none" w:sz="0" w:space="0" w:color="auto"/>
            <w:right w:val="none" w:sz="0" w:space="0" w:color="auto"/>
          </w:divBdr>
        </w:div>
        <w:div w:id="233">
          <w:marLeft w:val="0"/>
          <w:marRight w:val="0"/>
          <w:marTop w:val="-20"/>
          <w:marBottom w:val="-20"/>
          <w:divBdr>
            <w:top w:val="none" w:sz="0" w:space="0" w:color="auto"/>
            <w:left w:val="none" w:sz="0" w:space="0" w:color="auto"/>
            <w:bottom w:val="none" w:sz="0" w:space="0" w:color="auto"/>
            <w:right w:val="none" w:sz="0" w:space="0" w:color="auto"/>
          </w:divBdr>
        </w:div>
        <w:div w:id="234">
          <w:marLeft w:val="0"/>
          <w:marRight w:val="0"/>
          <w:marTop w:val="-20"/>
          <w:marBottom w:val="-20"/>
          <w:divBdr>
            <w:top w:val="none" w:sz="0" w:space="0" w:color="auto"/>
            <w:left w:val="none" w:sz="0" w:space="0" w:color="auto"/>
            <w:bottom w:val="none" w:sz="0" w:space="0" w:color="auto"/>
            <w:right w:val="none" w:sz="0" w:space="0" w:color="auto"/>
          </w:divBdr>
        </w:div>
        <w:div w:id="235">
          <w:marLeft w:val="0"/>
          <w:marRight w:val="0"/>
          <w:marTop w:val="-20"/>
          <w:marBottom w:val="-20"/>
          <w:divBdr>
            <w:top w:val="none" w:sz="0" w:space="0" w:color="auto"/>
            <w:left w:val="none" w:sz="0" w:space="0" w:color="auto"/>
            <w:bottom w:val="none" w:sz="0" w:space="0" w:color="auto"/>
            <w:right w:val="none" w:sz="0" w:space="0" w:color="auto"/>
          </w:divBdr>
        </w:div>
        <w:div w:id="236">
          <w:marLeft w:val="0"/>
          <w:marRight w:val="0"/>
          <w:marTop w:val="-20"/>
          <w:marBottom w:val="-20"/>
          <w:divBdr>
            <w:top w:val="none" w:sz="0" w:space="0" w:color="auto"/>
            <w:left w:val="none" w:sz="0" w:space="0" w:color="auto"/>
            <w:bottom w:val="none" w:sz="0" w:space="0" w:color="auto"/>
            <w:right w:val="none" w:sz="0" w:space="0" w:color="auto"/>
          </w:divBdr>
        </w:div>
        <w:div w:id="237">
          <w:marLeft w:val="0"/>
          <w:marRight w:val="0"/>
          <w:marTop w:val="-20"/>
          <w:marBottom w:val="-20"/>
          <w:divBdr>
            <w:top w:val="none" w:sz="0" w:space="0" w:color="auto"/>
            <w:left w:val="none" w:sz="0" w:space="0" w:color="auto"/>
            <w:bottom w:val="none" w:sz="0" w:space="0" w:color="auto"/>
            <w:right w:val="none" w:sz="0" w:space="0" w:color="auto"/>
          </w:divBdr>
        </w:div>
        <w:div w:id="238">
          <w:marLeft w:val="0"/>
          <w:marRight w:val="0"/>
          <w:marTop w:val="-20"/>
          <w:marBottom w:val="-20"/>
          <w:divBdr>
            <w:top w:val="none" w:sz="0" w:space="0" w:color="auto"/>
            <w:left w:val="none" w:sz="0" w:space="0" w:color="auto"/>
            <w:bottom w:val="none" w:sz="0" w:space="0" w:color="auto"/>
            <w:right w:val="none" w:sz="0" w:space="0" w:color="auto"/>
          </w:divBdr>
        </w:div>
        <w:div w:id="239">
          <w:marLeft w:val="0"/>
          <w:marRight w:val="0"/>
          <w:marTop w:val="-20"/>
          <w:marBottom w:val="-20"/>
          <w:divBdr>
            <w:top w:val="none" w:sz="0" w:space="0" w:color="auto"/>
            <w:left w:val="none" w:sz="0" w:space="0" w:color="auto"/>
            <w:bottom w:val="none" w:sz="0" w:space="0" w:color="auto"/>
            <w:right w:val="none" w:sz="0" w:space="0" w:color="auto"/>
          </w:divBdr>
        </w:div>
        <w:div w:id="240">
          <w:marLeft w:val="0"/>
          <w:marRight w:val="0"/>
          <w:marTop w:val="-20"/>
          <w:marBottom w:val="-20"/>
          <w:divBdr>
            <w:top w:val="none" w:sz="0" w:space="0" w:color="auto"/>
            <w:left w:val="none" w:sz="0" w:space="0" w:color="auto"/>
            <w:bottom w:val="none" w:sz="0" w:space="0" w:color="auto"/>
            <w:right w:val="none" w:sz="0" w:space="0" w:color="auto"/>
          </w:divBdr>
        </w:div>
        <w:div w:id="241">
          <w:marLeft w:val="0"/>
          <w:marRight w:val="0"/>
          <w:marTop w:val="-20"/>
          <w:marBottom w:val="-20"/>
          <w:divBdr>
            <w:top w:val="none" w:sz="0" w:space="0" w:color="auto"/>
            <w:left w:val="none" w:sz="0" w:space="0" w:color="auto"/>
            <w:bottom w:val="none" w:sz="0" w:space="0" w:color="auto"/>
            <w:right w:val="none" w:sz="0" w:space="0" w:color="auto"/>
          </w:divBdr>
        </w:div>
        <w:div w:id="242">
          <w:marLeft w:val="0"/>
          <w:marRight w:val="0"/>
          <w:marTop w:val="-20"/>
          <w:marBottom w:val="-20"/>
          <w:divBdr>
            <w:top w:val="none" w:sz="0" w:space="0" w:color="auto"/>
            <w:left w:val="none" w:sz="0" w:space="0" w:color="auto"/>
            <w:bottom w:val="none" w:sz="0" w:space="0" w:color="auto"/>
            <w:right w:val="none" w:sz="0" w:space="0" w:color="auto"/>
          </w:divBdr>
        </w:div>
        <w:div w:id="243">
          <w:marLeft w:val="0"/>
          <w:marRight w:val="0"/>
          <w:marTop w:val="-20"/>
          <w:marBottom w:val="-20"/>
          <w:divBdr>
            <w:top w:val="none" w:sz="0" w:space="0" w:color="auto"/>
            <w:left w:val="none" w:sz="0" w:space="0" w:color="auto"/>
            <w:bottom w:val="none" w:sz="0" w:space="0" w:color="auto"/>
            <w:right w:val="none" w:sz="0" w:space="0" w:color="auto"/>
          </w:divBdr>
        </w:div>
        <w:div w:id="244">
          <w:marLeft w:val="0"/>
          <w:marRight w:val="0"/>
          <w:marTop w:val="-20"/>
          <w:marBottom w:val="-20"/>
          <w:divBdr>
            <w:top w:val="none" w:sz="0" w:space="0" w:color="auto"/>
            <w:left w:val="none" w:sz="0" w:space="0" w:color="auto"/>
            <w:bottom w:val="none" w:sz="0" w:space="0" w:color="auto"/>
            <w:right w:val="none" w:sz="0" w:space="0" w:color="auto"/>
          </w:divBdr>
        </w:div>
        <w:div w:id="245">
          <w:marLeft w:val="0"/>
          <w:marRight w:val="0"/>
          <w:marTop w:val="-20"/>
          <w:marBottom w:val="-20"/>
          <w:divBdr>
            <w:top w:val="none" w:sz="0" w:space="0" w:color="auto"/>
            <w:left w:val="none" w:sz="0" w:space="0" w:color="auto"/>
            <w:bottom w:val="none" w:sz="0" w:space="0" w:color="auto"/>
            <w:right w:val="none" w:sz="0" w:space="0" w:color="auto"/>
          </w:divBdr>
        </w:div>
        <w:div w:id="246">
          <w:marLeft w:val="0"/>
          <w:marRight w:val="0"/>
          <w:marTop w:val="-20"/>
          <w:marBottom w:val="-20"/>
          <w:divBdr>
            <w:top w:val="none" w:sz="0" w:space="0" w:color="auto"/>
            <w:left w:val="none" w:sz="0" w:space="0" w:color="auto"/>
            <w:bottom w:val="none" w:sz="0" w:space="0" w:color="auto"/>
            <w:right w:val="none" w:sz="0" w:space="0" w:color="auto"/>
          </w:divBdr>
        </w:div>
        <w:div w:id="247">
          <w:marLeft w:val="0"/>
          <w:marRight w:val="0"/>
          <w:marTop w:val="-20"/>
          <w:marBottom w:val="-20"/>
          <w:divBdr>
            <w:top w:val="none" w:sz="0" w:space="0" w:color="auto"/>
            <w:left w:val="none" w:sz="0" w:space="0" w:color="auto"/>
            <w:bottom w:val="none" w:sz="0" w:space="0" w:color="auto"/>
            <w:right w:val="none" w:sz="0" w:space="0" w:color="auto"/>
          </w:divBdr>
        </w:div>
        <w:div w:id="248">
          <w:marLeft w:val="0"/>
          <w:marRight w:val="0"/>
          <w:marTop w:val="-20"/>
          <w:marBottom w:val="-20"/>
          <w:divBdr>
            <w:top w:val="none" w:sz="0" w:space="0" w:color="auto"/>
            <w:left w:val="none" w:sz="0" w:space="0" w:color="auto"/>
            <w:bottom w:val="none" w:sz="0" w:space="0" w:color="auto"/>
            <w:right w:val="none" w:sz="0" w:space="0" w:color="auto"/>
          </w:divBdr>
        </w:div>
        <w:div w:id="249">
          <w:marLeft w:val="0"/>
          <w:marRight w:val="0"/>
          <w:marTop w:val="-20"/>
          <w:marBottom w:val="-20"/>
          <w:divBdr>
            <w:top w:val="none" w:sz="0" w:space="0" w:color="auto"/>
            <w:left w:val="none" w:sz="0" w:space="0" w:color="auto"/>
            <w:bottom w:val="none" w:sz="0" w:space="0" w:color="auto"/>
            <w:right w:val="none" w:sz="0" w:space="0" w:color="auto"/>
          </w:divBdr>
        </w:div>
        <w:div w:id="250">
          <w:marLeft w:val="0"/>
          <w:marRight w:val="0"/>
          <w:marTop w:val="-20"/>
          <w:marBottom w:val="-20"/>
          <w:divBdr>
            <w:top w:val="none" w:sz="0" w:space="0" w:color="auto"/>
            <w:left w:val="none" w:sz="0" w:space="0" w:color="auto"/>
            <w:bottom w:val="none" w:sz="0" w:space="0" w:color="auto"/>
            <w:right w:val="none" w:sz="0" w:space="0" w:color="auto"/>
          </w:divBdr>
        </w:div>
        <w:div w:id="251">
          <w:marLeft w:val="0"/>
          <w:marRight w:val="0"/>
          <w:marTop w:val="-20"/>
          <w:marBottom w:val="-20"/>
          <w:divBdr>
            <w:top w:val="none" w:sz="0" w:space="0" w:color="auto"/>
            <w:left w:val="none" w:sz="0" w:space="0" w:color="auto"/>
            <w:bottom w:val="none" w:sz="0" w:space="0" w:color="auto"/>
            <w:right w:val="none" w:sz="0" w:space="0" w:color="auto"/>
          </w:divBdr>
        </w:div>
        <w:div w:id="252">
          <w:marLeft w:val="0"/>
          <w:marRight w:val="0"/>
          <w:marTop w:val="-20"/>
          <w:marBottom w:val="-20"/>
          <w:divBdr>
            <w:top w:val="none" w:sz="0" w:space="0" w:color="auto"/>
            <w:left w:val="none" w:sz="0" w:space="0" w:color="auto"/>
            <w:bottom w:val="none" w:sz="0" w:space="0" w:color="auto"/>
            <w:right w:val="none" w:sz="0" w:space="0" w:color="auto"/>
          </w:divBdr>
        </w:div>
        <w:div w:id="253">
          <w:marLeft w:val="0"/>
          <w:marRight w:val="0"/>
          <w:marTop w:val="-20"/>
          <w:marBottom w:val="-20"/>
          <w:divBdr>
            <w:top w:val="none" w:sz="0" w:space="0" w:color="auto"/>
            <w:left w:val="none" w:sz="0" w:space="0" w:color="auto"/>
            <w:bottom w:val="none" w:sz="0" w:space="0" w:color="auto"/>
            <w:right w:val="none" w:sz="0" w:space="0" w:color="auto"/>
          </w:divBdr>
        </w:div>
        <w:div w:id="254">
          <w:marLeft w:val="0"/>
          <w:marRight w:val="0"/>
          <w:marTop w:val="-20"/>
          <w:marBottom w:val="-20"/>
          <w:divBdr>
            <w:top w:val="none" w:sz="0" w:space="0" w:color="auto"/>
            <w:left w:val="none" w:sz="0" w:space="0" w:color="auto"/>
            <w:bottom w:val="none" w:sz="0" w:space="0" w:color="auto"/>
            <w:right w:val="none" w:sz="0" w:space="0" w:color="auto"/>
          </w:divBdr>
        </w:div>
        <w:div w:id="255">
          <w:marLeft w:val="0"/>
          <w:marRight w:val="0"/>
          <w:marTop w:val="-20"/>
          <w:marBottom w:val="-20"/>
          <w:divBdr>
            <w:top w:val="none" w:sz="0" w:space="0" w:color="auto"/>
            <w:left w:val="none" w:sz="0" w:space="0" w:color="auto"/>
            <w:bottom w:val="none" w:sz="0" w:space="0" w:color="auto"/>
            <w:right w:val="none" w:sz="0" w:space="0" w:color="auto"/>
          </w:divBdr>
        </w:div>
        <w:div w:id="256">
          <w:marLeft w:val="0"/>
          <w:marRight w:val="0"/>
          <w:marTop w:val="-20"/>
          <w:marBottom w:val="-20"/>
          <w:divBdr>
            <w:top w:val="none" w:sz="0" w:space="0" w:color="auto"/>
            <w:left w:val="none" w:sz="0" w:space="0" w:color="auto"/>
            <w:bottom w:val="none" w:sz="0" w:space="0" w:color="auto"/>
            <w:right w:val="none" w:sz="0" w:space="0" w:color="auto"/>
          </w:divBdr>
        </w:div>
        <w:div w:id="257">
          <w:marLeft w:val="0"/>
          <w:marRight w:val="0"/>
          <w:marTop w:val="-20"/>
          <w:marBottom w:val="-20"/>
          <w:divBdr>
            <w:top w:val="none" w:sz="0" w:space="0" w:color="auto"/>
            <w:left w:val="none" w:sz="0" w:space="0" w:color="auto"/>
            <w:bottom w:val="none" w:sz="0" w:space="0" w:color="auto"/>
            <w:right w:val="none" w:sz="0" w:space="0" w:color="auto"/>
          </w:divBdr>
        </w:div>
        <w:div w:id="258">
          <w:marLeft w:val="0"/>
          <w:marRight w:val="0"/>
          <w:marTop w:val="-20"/>
          <w:marBottom w:val="-20"/>
          <w:divBdr>
            <w:top w:val="none" w:sz="0" w:space="0" w:color="auto"/>
            <w:left w:val="none" w:sz="0" w:space="0" w:color="auto"/>
            <w:bottom w:val="none" w:sz="0" w:space="0" w:color="auto"/>
            <w:right w:val="none" w:sz="0" w:space="0" w:color="auto"/>
          </w:divBdr>
        </w:div>
        <w:div w:id="259">
          <w:marLeft w:val="0"/>
          <w:marRight w:val="0"/>
          <w:marTop w:val="-20"/>
          <w:marBottom w:val="-20"/>
          <w:divBdr>
            <w:top w:val="none" w:sz="0" w:space="0" w:color="auto"/>
            <w:left w:val="none" w:sz="0" w:space="0" w:color="auto"/>
            <w:bottom w:val="none" w:sz="0" w:space="0" w:color="auto"/>
            <w:right w:val="none" w:sz="0" w:space="0" w:color="auto"/>
          </w:divBdr>
        </w:div>
        <w:div w:id="260">
          <w:marLeft w:val="0"/>
          <w:marRight w:val="0"/>
          <w:marTop w:val="-20"/>
          <w:marBottom w:val="-20"/>
          <w:divBdr>
            <w:top w:val="none" w:sz="0" w:space="0" w:color="auto"/>
            <w:left w:val="none" w:sz="0" w:space="0" w:color="auto"/>
            <w:bottom w:val="none" w:sz="0" w:space="0" w:color="auto"/>
            <w:right w:val="none" w:sz="0" w:space="0" w:color="auto"/>
          </w:divBdr>
        </w:div>
        <w:div w:id="261">
          <w:marLeft w:val="0"/>
          <w:marRight w:val="0"/>
          <w:marTop w:val="-20"/>
          <w:marBottom w:val="-20"/>
          <w:divBdr>
            <w:top w:val="none" w:sz="0" w:space="0" w:color="auto"/>
            <w:left w:val="none" w:sz="0" w:space="0" w:color="auto"/>
            <w:bottom w:val="none" w:sz="0" w:space="0" w:color="auto"/>
            <w:right w:val="none" w:sz="0" w:space="0" w:color="auto"/>
          </w:divBdr>
        </w:div>
        <w:div w:id="262">
          <w:marLeft w:val="0"/>
          <w:marRight w:val="0"/>
          <w:marTop w:val="-20"/>
          <w:marBottom w:val="-20"/>
          <w:divBdr>
            <w:top w:val="none" w:sz="0" w:space="0" w:color="auto"/>
            <w:left w:val="none" w:sz="0" w:space="0" w:color="auto"/>
            <w:bottom w:val="none" w:sz="0" w:space="0" w:color="auto"/>
            <w:right w:val="none" w:sz="0" w:space="0" w:color="auto"/>
          </w:divBdr>
        </w:div>
        <w:div w:id="263">
          <w:marLeft w:val="0"/>
          <w:marRight w:val="0"/>
          <w:marTop w:val="-20"/>
          <w:marBottom w:val="-20"/>
          <w:divBdr>
            <w:top w:val="none" w:sz="0" w:space="0" w:color="auto"/>
            <w:left w:val="none" w:sz="0" w:space="0" w:color="auto"/>
            <w:bottom w:val="none" w:sz="0" w:space="0" w:color="auto"/>
            <w:right w:val="none" w:sz="0" w:space="0" w:color="auto"/>
          </w:divBdr>
        </w:div>
        <w:div w:id="264">
          <w:marLeft w:val="0"/>
          <w:marRight w:val="0"/>
          <w:marTop w:val="-20"/>
          <w:marBottom w:val="-20"/>
          <w:divBdr>
            <w:top w:val="none" w:sz="0" w:space="0" w:color="auto"/>
            <w:left w:val="none" w:sz="0" w:space="0" w:color="auto"/>
            <w:bottom w:val="none" w:sz="0" w:space="0" w:color="auto"/>
            <w:right w:val="none" w:sz="0" w:space="0" w:color="auto"/>
          </w:divBdr>
        </w:div>
        <w:div w:id="265">
          <w:marLeft w:val="0"/>
          <w:marRight w:val="0"/>
          <w:marTop w:val="-20"/>
          <w:marBottom w:val="-20"/>
          <w:divBdr>
            <w:top w:val="none" w:sz="0" w:space="0" w:color="auto"/>
            <w:left w:val="none" w:sz="0" w:space="0" w:color="auto"/>
            <w:bottom w:val="none" w:sz="0" w:space="0" w:color="auto"/>
            <w:right w:val="none" w:sz="0" w:space="0" w:color="auto"/>
          </w:divBdr>
        </w:div>
        <w:div w:id="266">
          <w:marLeft w:val="0"/>
          <w:marRight w:val="0"/>
          <w:marTop w:val="-20"/>
          <w:marBottom w:val="-20"/>
          <w:divBdr>
            <w:top w:val="none" w:sz="0" w:space="0" w:color="auto"/>
            <w:left w:val="none" w:sz="0" w:space="0" w:color="auto"/>
            <w:bottom w:val="none" w:sz="0" w:space="0" w:color="auto"/>
            <w:right w:val="none" w:sz="0" w:space="0" w:color="auto"/>
          </w:divBdr>
        </w:div>
        <w:div w:id="267">
          <w:marLeft w:val="0"/>
          <w:marRight w:val="0"/>
          <w:marTop w:val="-20"/>
          <w:marBottom w:val="-20"/>
          <w:divBdr>
            <w:top w:val="none" w:sz="0" w:space="0" w:color="auto"/>
            <w:left w:val="none" w:sz="0" w:space="0" w:color="auto"/>
            <w:bottom w:val="none" w:sz="0" w:space="0" w:color="auto"/>
            <w:right w:val="none" w:sz="0" w:space="0" w:color="auto"/>
          </w:divBdr>
        </w:div>
        <w:div w:id="268">
          <w:marLeft w:val="0"/>
          <w:marRight w:val="0"/>
          <w:marTop w:val="-20"/>
          <w:marBottom w:val="-20"/>
          <w:divBdr>
            <w:top w:val="none" w:sz="0" w:space="0" w:color="auto"/>
            <w:left w:val="none" w:sz="0" w:space="0" w:color="auto"/>
            <w:bottom w:val="none" w:sz="0" w:space="0" w:color="auto"/>
            <w:right w:val="none" w:sz="0" w:space="0" w:color="auto"/>
          </w:divBdr>
        </w:div>
        <w:div w:id="269">
          <w:marLeft w:val="0"/>
          <w:marRight w:val="0"/>
          <w:marTop w:val="-20"/>
          <w:marBottom w:val="-20"/>
          <w:divBdr>
            <w:top w:val="none" w:sz="0" w:space="0" w:color="auto"/>
            <w:left w:val="none" w:sz="0" w:space="0" w:color="auto"/>
            <w:bottom w:val="none" w:sz="0" w:space="0" w:color="auto"/>
            <w:right w:val="none" w:sz="0" w:space="0" w:color="auto"/>
          </w:divBdr>
        </w:div>
        <w:div w:id="270">
          <w:marLeft w:val="0"/>
          <w:marRight w:val="0"/>
          <w:marTop w:val="-20"/>
          <w:marBottom w:val="-20"/>
          <w:divBdr>
            <w:top w:val="none" w:sz="0" w:space="0" w:color="auto"/>
            <w:left w:val="none" w:sz="0" w:space="0" w:color="auto"/>
            <w:bottom w:val="none" w:sz="0" w:space="0" w:color="auto"/>
            <w:right w:val="none" w:sz="0" w:space="0" w:color="auto"/>
          </w:divBdr>
        </w:div>
        <w:div w:id="271">
          <w:marLeft w:val="0"/>
          <w:marRight w:val="0"/>
          <w:marTop w:val="-20"/>
          <w:marBottom w:val="-20"/>
          <w:divBdr>
            <w:top w:val="none" w:sz="0" w:space="0" w:color="auto"/>
            <w:left w:val="none" w:sz="0" w:space="0" w:color="auto"/>
            <w:bottom w:val="none" w:sz="0" w:space="0" w:color="auto"/>
            <w:right w:val="none" w:sz="0" w:space="0" w:color="auto"/>
          </w:divBdr>
        </w:div>
        <w:div w:id="272">
          <w:marLeft w:val="0"/>
          <w:marRight w:val="0"/>
          <w:marTop w:val="-20"/>
          <w:marBottom w:val="-20"/>
          <w:divBdr>
            <w:top w:val="none" w:sz="0" w:space="0" w:color="auto"/>
            <w:left w:val="none" w:sz="0" w:space="0" w:color="auto"/>
            <w:bottom w:val="none" w:sz="0" w:space="0" w:color="auto"/>
            <w:right w:val="none" w:sz="0" w:space="0" w:color="auto"/>
          </w:divBdr>
        </w:div>
        <w:div w:id="273">
          <w:marLeft w:val="0"/>
          <w:marRight w:val="0"/>
          <w:marTop w:val="-20"/>
          <w:marBottom w:val="-20"/>
          <w:divBdr>
            <w:top w:val="none" w:sz="0" w:space="0" w:color="auto"/>
            <w:left w:val="none" w:sz="0" w:space="0" w:color="auto"/>
            <w:bottom w:val="none" w:sz="0" w:space="0" w:color="auto"/>
            <w:right w:val="none" w:sz="0" w:space="0" w:color="auto"/>
          </w:divBdr>
        </w:div>
        <w:div w:id="274">
          <w:marLeft w:val="0"/>
          <w:marRight w:val="0"/>
          <w:marTop w:val="-20"/>
          <w:marBottom w:val="-20"/>
          <w:divBdr>
            <w:top w:val="none" w:sz="0" w:space="0" w:color="auto"/>
            <w:left w:val="none" w:sz="0" w:space="0" w:color="auto"/>
            <w:bottom w:val="none" w:sz="0" w:space="0" w:color="auto"/>
            <w:right w:val="none" w:sz="0" w:space="0" w:color="auto"/>
          </w:divBdr>
        </w:div>
        <w:div w:id="275">
          <w:marLeft w:val="0"/>
          <w:marRight w:val="0"/>
          <w:marTop w:val="-20"/>
          <w:marBottom w:val="-20"/>
          <w:divBdr>
            <w:top w:val="none" w:sz="0" w:space="0" w:color="auto"/>
            <w:left w:val="none" w:sz="0" w:space="0" w:color="auto"/>
            <w:bottom w:val="none" w:sz="0" w:space="0" w:color="auto"/>
            <w:right w:val="none" w:sz="0" w:space="0" w:color="auto"/>
          </w:divBdr>
        </w:div>
        <w:div w:id="276">
          <w:marLeft w:val="0"/>
          <w:marRight w:val="0"/>
          <w:marTop w:val="-20"/>
          <w:marBottom w:val="-20"/>
          <w:divBdr>
            <w:top w:val="none" w:sz="0" w:space="0" w:color="auto"/>
            <w:left w:val="none" w:sz="0" w:space="0" w:color="auto"/>
            <w:bottom w:val="none" w:sz="0" w:space="0" w:color="auto"/>
            <w:right w:val="none" w:sz="0" w:space="0" w:color="auto"/>
          </w:divBdr>
        </w:div>
        <w:div w:id="277">
          <w:marLeft w:val="0"/>
          <w:marRight w:val="0"/>
          <w:marTop w:val="-20"/>
          <w:marBottom w:val="-20"/>
          <w:divBdr>
            <w:top w:val="none" w:sz="0" w:space="0" w:color="auto"/>
            <w:left w:val="none" w:sz="0" w:space="0" w:color="auto"/>
            <w:bottom w:val="none" w:sz="0" w:space="0" w:color="auto"/>
            <w:right w:val="none" w:sz="0" w:space="0" w:color="auto"/>
          </w:divBdr>
        </w:div>
        <w:div w:id="278">
          <w:marLeft w:val="0"/>
          <w:marRight w:val="0"/>
          <w:marTop w:val="-20"/>
          <w:marBottom w:val="-20"/>
          <w:divBdr>
            <w:top w:val="none" w:sz="0" w:space="0" w:color="auto"/>
            <w:left w:val="none" w:sz="0" w:space="0" w:color="auto"/>
            <w:bottom w:val="none" w:sz="0" w:space="0" w:color="auto"/>
            <w:right w:val="none" w:sz="0" w:space="0" w:color="auto"/>
          </w:divBdr>
        </w:div>
        <w:div w:id="279">
          <w:marLeft w:val="0"/>
          <w:marRight w:val="0"/>
          <w:marTop w:val="-20"/>
          <w:marBottom w:val="-20"/>
          <w:divBdr>
            <w:top w:val="none" w:sz="0" w:space="0" w:color="auto"/>
            <w:left w:val="none" w:sz="0" w:space="0" w:color="auto"/>
            <w:bottom w:val="none" w:sz="0" w:space="0" w:color="auto"/>
            <w:right w:val="none" w:sz="0" w:space="0" w:color="auto"/>
          </w:divBdr>
        </w:div>
        <w:div w:id="280">
          <w:marLeft w:val="0"/>
          <w:marRight w:val="0"/>
          <w:marTop w:val="-20"/>
          <w:marBottom w:val="-20"/>
          <w:divBdr>
            <w:top w:val="none" w:sz="0" w:space="0" w:color="auto"/>
            <w:left w:val="none" w:sz="0" w:space="0" w:color="auto"/>
            <w:bottom w:val="none" w:sz="0" w:space="0" w:color="auto"/>
            <w:right w:val="none" w:sz="0" w:space="0" w:color="auto"/>
          </w:divBdr>
        </w:div>
        <w:div w:id="281">
          <w:marLeft w:val="0"/>
          <w:marRight w:val="0"/>
          <w:marTop w:val="-20"/>
          <w:marBottom w:val="-20"/>
          <w:divBdr>
            <w:top w:val="none" w:sz="0" w:space="0" w:color="auto"/>
            <w:left w:val="none" w:sz="0" w:space="0" w:color="auto"/>
            <w:bottom w:val="none" w:sz="0" w:space="0" w:color="auto"/>
            <w:right w:val="none" w:sz="0" w:space="0" w:color="auto"/>
          </w:divBdr>
        </w:div>
        <w:div w:id="282">
          <w:marLeft w:val="0"/>
          <w:marRight w:val="0"/>
          <w:marTop w:val="-20"/>
          <w:marBottom w:val="-20"/>
          <w:divBdr>
            <w:top w:val="none" w:sz="0" w:space="0" w:color="auto"/>
            <w:left w:val="none" w:sz="0" w:space="0" w:color="auto"/>
            <w:bottom w:val="none" w:sz="0" w:space="0" w:color="auto"/>
            <w:right w:val="none" w:sz="0" w:space="0" w:color="auto"/>
          </w:divBdr>
        </w:div>
        <w:div w:id="283">
          <w:marLeft w:val="0"/>
          <w:marRight w:val="0"/>
          <w:marTop w:val="-20"/>
          <w:marBottom w:val="-20"/>
          <w:divBdr>
            <w:top w:val="none" w:sz="0" w:space="0" w:color="auto"/>
            <w:left w:val="none" w:sz="0" w:space="0" w:color="auto"/>
            <w:bottom w:val="none" w:sz="0" w:space="0" w:color="auto"/>
            <w:right w:val="none" w:sz="0" w:space="0" w:color="auto"/>
          </w:divBdr>
        </w:div>
        <w:div w:id="284">
          <w:marLeft w:val="0"/>
          <w:marRight w:val="0"/>
          <w:marTop w:val="-20"/>
          <w:marBottom w:val="-20"/>
          <w:divBdr>
            <w:top w:val="none" w:sz="0" w:space="0" w:color="auto"/>
            <w:left w:val="none" w:sz="0" w:space="0" w:color="auto"/>
            <w:bottom w:val="none" w:sz="0" w:space="0" w:color="auto"/>
            <w:right w:val="none" w:sz="0" w:space="0" w:color="auto"/>
          </w:divBdr>
        </w:div>
        <w:div w:id="285">
          <w:marLeft w:val="0"/>
          <w:marRight w:val="0"/>
          <w:marTop w:val="-20"/>
          <w:marBottom w:val="-20"/>
          <w:divBdr>
            <w:top w:val="none" w:sz="0" w:space="0" w:color="auto"/>
            <w:left w:val="none" w:sz="0" w:space="0" w:color="auto"/>
            <w:bottom w:val="none" w:sz="0" w:space="0" w:color="auto"/>
            <w:right w:val="none" w:sz="0" w:space="0" w:color="auto"/>
          </w:divBdr>
        </w:div>
        <w:div w:id="286">
          <w:marLeft w:val="0"/>
          <w:marRight w:val="0"/>
          <w:marTop w:val="-20"/>
          <w:marBottom w:val="-20"/>
          <w:divBdr>
            <w:top w:val="none" w:sz="0" w:space="0" w:color="auto"/>
            <w:left w:val="none" w:sz="0" w:space="0" w:color="auto"/>
            <w:bottom w:val="none" w:sz="0" w:space="0" w:color="auto"/>
            <w:right w:val="none" w:sz="0" w:space="0" w:color="auto"/>
          </w:divBdr>
        </w:div>
        <w:div w:id="287">
          <w:marLeft w:val="0"/>
          <w:marRight w:val="0"/>
          <w:marTop w:val="-20"/>
          <w:marBottom w:val="-20"/>
          <w:divBdr>
            <w:top w:val="none" w:sz="0" w:space="0" w:color="auto"/>
            <w:left w:val="none" w:sz="0" w:space="0" w:color="auto"/>
            <w:bottom w:val="none" w:sz="0" w:space="0" w:color="auto"/>
            <w:right w:val="none" w:sz="0" w:space="0" w:color="auto"/>
          </w:divBdr>
        </w:div>
        <w:div w:id="288">
          <w:marLeft w:val="0"/>
          <w:marRight w:val="0"/>
          <w:marTop w:val="-20"/>
          <w:marBottom w:val="-20"/>
          <w:divBdr>
            <w:top w:val="none" w:sz="0" w:space="0" w:color="auto"/>
            <w:left w:val="none" w:sz="0" w:space="0" w:color="auto"/>
            <w:bottom w:val="none" w:sz="0" w:space="0" w:color="auto"/>
            <w:right w:val="none" w:sz="0" w:space="0" w:color="auto"/>
          </w:divBdr>
        </w:div>
        <w:div w:id="289">
          <w:marLeft w:val="0"/>
          <w:marRight w:val="0"/>
          <w:marTop w:val="-20"/>
          <w:marBottom w:val="-20"/>
          <w:divBdr>
            <w:top w:val="none" w:sz="0" w:space="0" w:color="auto"/>
            <w:left w:val="none" w:sz="0" w:space="0" w:color="auto"/>
            <w:bottom w:val="none" w:sz="0" w:space="0" w:color="auto"/>
            <w:right w:val="none" w:sz="0" w:space="0" w:color="auto"/>
          </w:divBdr>
        </w:div>
        <w:div w:id="290">
          <w:marLeft w:val="0"/>
          <w:marRight w:val="0"/>
          <w:marTop w:val="-20"/>
          <w:marBottom w:val="-20"/>
          <w:divBdr>
            <w:top w:val="none" w:sz="0" w:space="0" w:color="auto"/>
            <w:left w:val="none" w:sz="0" w:space="0" w:color="auto"/>
            <w:bottom w:val="none" w:sz="0" w:space="0" w:color="auto"/>
            <w:right w:val="none" w:sz="0" w:space="0" w:color="auto"/>
          </w:divBdr>
        </w:div>
        <w:div w:id="291">
          <w:marLeft w:val="0"/>
          <w:marRight w:val="0"/>
          <w:marTop w:val="-20"/>
          <w:marBottom w:val="-20"/>
          <w:divBdr>
            <w:top w:val="none" w:sz="0" w:space="0" w:color="auto"/>
            <w:left w:val="none" w:sz="0" w:space="0" w:color="auto"/>
            <w:bottom w:val="none" w:sz="0" w:space="0" w:color="auto"/>
            <w:right w:val="none" w:sz="0" w:space="0" w:color="auto"/>
          </w:divBdr>
        </w:div>
        <w:div w:id="292">
          <w:marLeft w:val="0"/>
          <w:marRight w:val="0"/>
          <w:marTop w:val="-20"/>
          <w:marBottom w:val="-20"/>
          <w:divBdr>
            <w:top w:val="none" w:sz="0" w:space="0" w:color="auto"/>
            <w:left w:val="none" w:sz="0" w:space="0" w:color="auto"/>
            <w:bottom w:val="none" w:sz="0" w:space="0" w:color="auto"/>
            <w:right w:val="none" w:sz="0" w:space="0" w:color="auto"/>
          </w:divBdr>
        </w:div>
        <w:div w:id="293">
          <w:marLeft w:val="0"/>
          <w:marRight w:val="0"/>
          <w:marTop w:val="-20"/>
          <w:marBottom w:val="-20"/>
          <w:divBdr>
            <w:top w:val="none" w:sz="0" w:space="0" w:color="auto"/>
            <w:left w:val="none" w:sz="0" w:space="0" w:color="auto"/>
            <w:bottom w:val="none" w:sz="0" w:space="0" w:color="auto"/>
            <w:right w:val="none" w:sz="0" w:space="0" w:color="auto"/>
          </w:divBdr>
        </w:div>
        <w:div w:id="294">
          <w:marLeft w:val="0"/>
          <w:marRight w:val="0"/>
          <w:marTop w:val="-20"/>
          <w:marBottom w:val="-20"/>
          <w:divBdr>
            <w:top w:val="none" w:sz="0" w:space="0" w:color="auto"/>
            <w:left w:val="none" w:sz="0" w:space="0" w:color="auto"/>
            <w:bottom w:val="none" w:sz="0" w:space="0" w:color="auto"/>
            <w:right w:val="none" w:sz="0" w:space="0" w:color="auto"/>
          </w:divBdr>
        </w:div>
        <w:div w:id="295">
          <w:marLeft w:val="0"/>
          <w:marRight w:val="0"/>
          <w:marTop w:val="-20"/>
          <w:marBottom w:val="-20"/>
          <w:divBdr>
            <w:top w:val="none" w:sz="0" w:space="0" w:color="auto"/>
            <w:left w:val="none" w:sz="0" w:space="0" w:color="auto"/>
            <w:bottom w:val="none" w:sz="0" w:space="0" w:color="auto"/>
            <w:right w:val="none" w:sz="0" w:space="0" w:color="auto"/>
          </w:divBdr>
        </w:div>
        <w:div w:id="296">
          <w:marLeft w:val="0"/>
          <w:marRight w:val="0"/>
          <w:marTop w:val="-20"/>
          <w:marBottom w:val="-20"/>
          <w:divBdr>
            <w:top w:val="none" w:sz="0" w:space="0" w:color="auto"/>
            <w:left w:val="none" w:sz="0" w:space="0" w:color="auto"/>
            <w:bottom w:val="none" w:sz="0" w:space="0" w:color="auto"/>
            <w:right w:val="none" w:sz="0" w:space="0" w:color="auto"/>
          </w:divBdr>
        </w:div>
        <w:div w:id="297">
          <w:marLeft w:val="0"/>
          <w:marRight w:val="0"/>
          <w:marTop w:val="-20"/>
          <w:marBottom w:val="-20"/>
          <w:divBdr>
            <w:top w:val="none" w:sz="0" w:space="0" w:color="auto"/>
            <w:left w:val="none" w:sz="0" w:space="0" w:color="auto"/>
            <w:bottom w:val="none" w:sz="0" w:space="0" w:color="auto"/>
            <w:right w:val="none" w:sz="0" w:space="0" w:color="auto"/>
          </w:divBdr>
        </w:div>
        <w:div w:id="298">
          <w:marLeft w:val="0"/>
          <w:marRight w:val="0"/>
          <w:marTop w:val="-20"/>
          <w:marBottom w:val="-20"/>
          <w:divBdr>
            <w:top w:val="none" w:sz="0" w:space="0" w:color="auto"/>
            <w:left w:val="none" w:sz="0" w:space="0" w:color="auto"/>
            <w:bottom w:val="none" w:sz="0" w:space="0" w:color="auto"/>
            <w:right w:val="none" w:sz="0" w:space="0" w:color="auto"/>
          </w:divBdr>
        </w:div>
        <w:div w:id="299">
          <w:marLeft w:val="0"/>
          <w:marRight w:val="0"/>
          <w:marTop w:val="-20"/>
          <w:marBottom w:val="-20"/>
          <w:divBdr>
            <w:top w:val="none" w:sz="0" w:space="0" w:color="auto"/>
            <w:left w:val="none" w:sz="0" w:space="0" w:color="auto"/>
            <w:bottom w:val="none" w:sz="0" w:space="0" w:color="auto"/>
            <w:right w:val="none" w:sz="0" w:space="0" w:color="auto"/>
          </w:divBdr>
        </w:div>
        <w:div w:id="300">
          <w:marLeft w:val="0"/>
          <w:marRight w:val="0"/>
          <w:marTop w:val="-20"/>
          <w:marBottom w:val="-20"/>
          <w:divBdr>
            <w:top w:val="none" w:sz="0" w:space="0" w:color="auto"/>
            <w:left w:val="none" w:sz="0" w:space="0" w:color="auto"/>
            <w:bottom w:val="none" w:sz="0" w:space="0" w:color="auto"/>
            <w:right w:val="none" w:sz="0" w:space="0" w:color="auto"/>
          </w:divBdr>
        </w:div>
        <w:div w:id="301">
          <w:marLeft w:val="0"/>
          <w:marRight w:val="0"/>
          <w:marTop w:val="-20"/>
          <w:marBottom w:val="-20"/>
          <w:divBdr>
            <w:top w:val="none" w:sz="0" w:space="0" w:color="auto"/>
            <w:left w:val="none" w:sz="0" w:space="0" w:color="auto"/>
            <w:bottom w:val="none" w:sz="0" w:space="0" w:color="auto"/>
            <w:right w:val="none" w:sz="0" w:space="0" w:color="auto"/>
          </w:divBdr>
        </w:div>
        <w:div w:id="302">
          <w:marLeft w:val="0"/>
          <w:marRight w:val="0"/>
          <w:marTop w:val="-20"/>
          <w:marBottom w:val="-20"/>
          <w:divBdr>
            <w:top w:val="none" w:sz="0" w:space="0" w:color="auto"/>
            <w:left w:val="none" w:sz="0" w:space="0" w:color="auto"/>
            <w:bottom w:val="none" w:sz="0" w:space="0" w:color="auto"/>
            <w:right w:val="none" w:sz="0" w:space="0" w:color="auto"/>
          </w:divBdr>
        </w:div>
        <w:div w:id="303">
          <w:marLeft w:val="0"/>
          <w:marRight w:val="0"/>
          <w:marTop w:val="-20"/>
          <w:marBottom w:val="-20"/>
          <w:divBdr>
            <w:top w:val="none" w:sz="0" w:space="0" w:color="auto"/>
            <w:left w:val="none" w:sz="0" w:space="0" w:color="auto"/>
            <w:bottom w:val="none" w:sz="0" w:space="0" w:color="auto"/>
            <w:right w:val="none" w:sz="0" w:space="0" w:color="auto"/>
          </w:divBdr>
        </w:div>
        <w:div w:id="304">
          <w:marLeft w:val="0"/>
          <w:marRight w:val="0"/>
          <w:marTop w:val="-20"/>
          <w:marBottom w:val="-20"/>
          <w:divBdr>
            <w:top w:val="none" w:sz="0" w:space="0" w:color="auto"/>
            <w:left w:val="none" w:sz="0" w:space="0" w:color="auto"/>
            <w:bottom w:val="none" w:sz="0" w:space="0" w:color="auto"/>
            <w:right w:val="none" w:sz="0" w:space="0" w:color="auto"/>
          </w:divBdr>
        </w:div>
        <w:div w:id="305">
          <w:marLeft w:val="0"/>
          <w:marRight w:val="0"/>
          <w:marTop w:val="-20"/>
          <w:marBottom w:val="-20"/>
          <w:divBdr>
            <w:top w:val="none" w:sz="0" w:space="0" w:color="auto"/>
            <w:left w:val="none" w:sz="0" w:space="0" w:color="auto"/>
            <w:bottom w:val="none" w:sz="0" w:space="0" w:color="auto"/>
            <w:right w:val="none" w:sz="0" w:space="0" w:color="auto"/>
          </w:divBdr>
        </w:div>
        <w:div w:id="306">
          <w:marLeft w:val="0"/>
          <w:marRight w:val="0"/>
          <w:marTop w:val="-20"/>
          <w:marBottom w:val="-20"/>
          <w:divBdr>
            <w:top w:val="none" w:sz="0" w:space="0" w:color="auto"/>
            <w:left w:val="none" w:sz="0" w:space="0" w:color="auto"/>
            <w:bottom w:val="none" w:sz="0" w:space="0" w:color="auto"/>
            <w:right w:val="none" w:sz="0" w:space="0" w:color="auto"/>
          </w:divBdr>
        </w:div>
        <w:div w:id="307">
          <w:marLeft w:val="0"/>
          <w:marRight w:val="0"/>
          <w:marTop w:val="-20"/>
          <w:marBottom w:val="-20"/>
          <w:divBdr>
            <w:top w:val="none" w:sz="0" w:space="0" w:color="auto"/>
            <w:left w:val="none" w:sz="0" w:space="0" w:color="auto"/>
            <w:bottom w:val="none" w:sz="0" w:space="0" w:color="auto"/>
            <w:right w:val="none" w:sz="0" w:space="0" w:color="auto"/>
          </w:divBdr>
        </w:div>
        <w:div w:id="308">
          <w:marLeft w:val="0"/>
          <w:marRight w:val="0"/>
          <w:marTop w:val="-20"/>
          <w:marBottom w:val="-20"/>
          <w:divBdr>
            <w:top w:val="none" w:sz="0" w:space="0" w:color="auto"/>
            <w:left w:val="none" w:sz="0" w:space="0" w:color="auto"/>
            <w:bottom w:val="none" w:sz="0" w:space="0" w:color="auto"/>
            <w:right w:val="none" w:sz="0" w:space="0" w:color="auto"/>
          </w:divBdr>
        </w:div>
        <w:div w:id="309">
          <w:marLeft w:val="0"/>
          <w:marRight w:val="0"/>
          <w:marTop w:val="-20"/>
          <w:marBottom w:val="-20"/>
          <w:divBdr>
            <w:top w:val="none" w:sz="0" w:space="0" w:color="auto"/>
            <w:left w:val="none" w:sz="0" w:space="0" w:color="auto"/>
            <w:bottom w:val="none" w:sz="0" w:space="0" w:color="auto"/>
            <w:right w:val="none" w:sz="0" w:space="0" w:color="auto"/>
          </w:divBdr>
        </w:div>
        <w:div w:id="310">
          <w:marLeft w:val="0"/>
          <w:marRight w:val="0"/>
          <w:marTop w:val="-20"/>
          <w:marBottom w:val="-20"/>
          <w:divBdr>
            <w:top w:val="none" w:sz="0" w:space="0" w:color="auto"/>
            <w:left w:val="none" w:sz="0" w:space="0" w:color="auto"/>
            <w:bottom w:val="none" w:sz="0" w:space="0" w:color="auto"/>
            <w:right w:val="none" w:sz="0" w:space="0" w:color="auto"/>
          </w:divBdr>
        </w:div>
        <w:div w:id="311">
          <w:marLeft w:val="0"/>
          <w:marRight w:val="0"/>
          <w:marTop w:val="-20"/>
          <w:marBottom w:val="-20"/>
          <w:divBdr>
            <w:top w:val="none" w:sz="0" w:space="0" w:color="auto"/>
            <w:left w:val="none" w:sz="0" w:space="0" w:color="auto"/>
            <w:bottom w:val="none" w:sz="0" w:space="0" w:color="auto"/>
            <w:right w:val="none" w:sz="0" w:space="0" w:color="auto"/>
          </w:divBdr>
        </w:div>
        <w:div w:id="312">
          <w:marLeft w:val="0"/>
          <w:marRight w:val="0"/>
          <w:marTop w:val="-20"/>
          <w:marBottom w:val="-20"/>
          <w:divBdr>
            <w:top w:val="none" w:sz="0" w:space="0" w:color="auto"/>
            <w:left w:val="none" w:sz="0" w:space="0" w:color="auto"/>
            <w:bottom w:val="none" w:sz="0" w:space="0" w:color="auto"/>
            <w:right w:val="none" w:sz="0" w:space="0" w:color="auto"/>
          </w:divBdr>
        </w:div>
        <w:div w:id="313">
          <w:marLeft w:val="0"/>
          <w:marRight w:val="0"/>
          <w:marTop w:val="-20"/>
          <w:marBottom w:val="-20"/>
          <w:divBdr>
            <w:top w:val="none" w:sz="0" w:space="0" w:color="auto"/>
            <w:left w:val="none" w:sz="0" w:space="0" w:color="auto"/>
            <w:bottom w:val="none" w:sz="0" w:space="0" w:color="auto"/>
            <w:right w:val="none" w:sz="0" w:space="0" w:color="auto"/>
          </w:divBdr>
        </w:div>
        <w:div w:id="314">
          <w:marLeft w:val="0"/>
          <w:marRight w:val="0"/>
          <w:marTop w:val="-20"/>
          <w:marBottom w:val="-20"/>
          <w:divBdr>
            <w:top w:val="none" w:sz="0" w:space="0" w:color="auto"/>
            <w:left w:val="none" w:sz="0" w:space="0" w:color="auto"/>
            <w:bottom w:val="none" w:sz="0" w:space="0" w:color="auto"/>
            <w:right w:val="none" w:sz="0" w:space="0" w:color="auto"/>
          </w:divBdr>
        </w:div>
        <w:div w:id="315">
          <w:marLeft w:val="0"/>
          <w:marRight w:val="0"/>
          <w:marTop w:val="-20"/>
          <w:marBottom w:val="-20"/>
          <w:divBdr>
            <w:top w:val="none" w:sz="0" w:space="0" w:color="auto"/>
            <w:left w:val="none" w:sz="0" w:space="0" w:color="auto"/>
            <w:bottom w:val="none" w:sz="0" w:space="0" w:color="auto"/>
            <w:right w:val="none" w:sz="0" w:space="0" w:color="auto"/>
          </w:divBdr>
        </w:div>
        <w:div w:id="316">
          <w:marLeft w:val="0"/>
          <w:marRight w:val="0"/>
          <w:marTop w:val="-20"/>
          <w:marBottom w:val="-20"/>
          <w:divBdr>
            <w:top w:val="none" w:sz="0" w:space="0" w:color="auto"/>
            <w:left w:val="none" w:sz="0" w:space="0" w:color="auto"/>
            <w:bottom w:val="none" w:sz="0" w:space="0" w:color="auto"/>
            <w:right w:val="none" w:sz="0" w:space="0" w:color="auto"/>
          </w:divBdr>
        </w:div>
        <w:div w:id="317">
          <w:marLeft w:val="0"/>
          <w:marRight w:val="0"/>
          <w:marTop w:val="-20"/>
          <w:marBottom w:val="-20"/>
          <w:divBdr>
            <w:top w:val="none" w:sz="0" w:space="0" w:color="auto"/>
            <w:left w:val="none" w:sz="0" w:space="0" w:color="auto"/>
            <w:bottom w:val="none" w:sz="0" w:space="0" w:color="auto"/>
            <w:right w:val="none" w:sz="0" w:space="0" w:color="auto"/>
          </w:divBdr>
        </w:div>
        <w:div w:id="318">
          <w:marLeft w:val="0"/>
          <w:marRight w:val="0"/>
          <w:marTop w:val="-20"/>
          <w:marBottom w:val="-20"/>
          <w:divBdr>
            <w:top w:val="none" w:sz="0" w:space="0" w:color="auto"/>
            <w:left w:val="none" w:sz="0" w:space="0" w:color="auto"/>
            <w:bottom w:val="none" w:sz="0" w:space="0" w:color="auto"/>
            <w:right w:val="none" w:sz="0" w:space="0" w:color="auto"/>
          </w:divBdr>
        </w:div>
        <w:div w:id="319">
          <w:marLeft w:val="0"/>
          <w:marRight w:val="0"/>
          <w:marTop w:val="-20"/>
          <w:marBottom w:val="-20"/>
          <w:divBdr>
            <w:top w:val="none" w:sz="0" w:space="0" w:color="auto"/>
            <w:left w:val="none" w:sz="0" w:space="0" w:color="auto"/>
            <w:bottom w:val="none" w:sz="0" w:space="0" w:color="auto"/>
            <w:right w:val="none" w:sz="0" w:space="0" w:color="auto"/>
          </w:divBdr>
        </w:div>
        <w:div w:id="320">
          <w:marLeft w:val="0"/>
          <w:marRight w:val="0"/>
          <w:marTop w:val="-20"/>
          <w:marBottom w:val="-20"/>
          <w:divBdr>
            <w:top w:val="none" w:sz="0" w:space="0" w:color="auto"/>
            <w:left w:val="none" w:sz="0" w:space="0" w:color="auto"/>
            <w:bottom w:val="none" w:sz="0" w:space="0" w:color="auto"/>
            <w:right w:val="none" w:sz="0" w:space="0" w:color="auto"/>
          </w:divBdr>
        </w:div>
        <w:div w:id="321">
          <w:marLeft w:val="0"/>
          <w:marRight w:val="0"/>
          <w:marTop w:val="-20"/>
          <w:marBottom w:val="-20"/>
          <w:divBdr>
            <w:top w:val="none" w:sz="0" w:space="0" w:color="auto"/>
            <w:left w:val="none" w:sz="0" w:space="0" w:color="auto"/>
            <w:bottom w:val="none" w:sz="0" w:space="0" w:color="auto"/>
            <w:right w:val="none" w:sz="0" w:space="0" w:color="auto"/>
          </w:divBdr>
        </w:div>
        <w:div w:id="322">
          <w:marLeft w:val="0"/>
          <w:marRight w:val="0"/>
          <w:marTop w:val="-20"/>
          <w:marBottom w:val="-20"/>
          <w:divBdr>
            <w:top w:val="none" w:sz="0" w:space="0" w:color="auto"/>
            <w:left w:val="none" w:sz="0" w:space="0" w:color="auto"/>
            <w:bottom w:val="none" w:sz="0" w:space="0" w:color="auto"/>
            <w:right w:val="none" w:sz="0" w:space="0" w:color="auto"/>
          </w:divBdr>
        </w:div>
        <w:div w:id="323">
          <w:marLeft w:val="0"/>
          <w:marRight w:val="0"/>
          <w:marTop w:val="-20"/>
          <w:marBottom w:val="-20"/>
          <w:divBdr>
            <w:top w:val="none" w:sz="0" w:space="0" w:color="auto"/>
            <w:left w:val="none" w:sz="0" w:space="0" w:color="auto"/>
            <w:bottom w:val="none" w:sz="0" w:space="0" w:color="auto"/>
            <w:right w:val="none" w:sz="0" w:space="0" w:color="auto"/>
          </w:divBdr>
        </w:div>
        <w:div w:id="324">
          <w:marLeft w:val="0"/>
          <w:marRight w:val="0"/>
          <w:marTop w:val="-20"/>
          <w:marBottom w:val="-20"/>
          <w:divBdr>
            <w:top w:val="none" w:sz="0" w:space="0" w:color="auto"/>
            <w:left w:val="none" w:sz="0" w:space="0" w:color="auto"/>
            <w:bottom w:val="none" w:sz="0" w:space="0" w:color="auto"/>
            <w:right w:val="none" w:sz="0" w:space="0" w:color="auto"/>
          </w:divBdr>
        </w:div>
        <w:div w:id="325">
          <w:marLeft w:val="0"/>
          <w:marRight w:val="0"/>
          <w:marTop w:val="-20"/>
          <w:marBottom w:val="-20"/>
          <w:divBdr>
            <w:top w:val="none" w:sz="0" w:space="0" w:color="auto"/>
            <w:left w:val="none" w:sz="0" w:space="0" w:color="auto"/>
            <w:bottom w:val="none" w:sz="0" w:space="0" w:color="auto"/>
            <w:right w:val="none" w:sz="0" w:space="0" w:color="auto"/>
          </w:divBdr>
        </w:div>
        <w:div w:id="326">
          <w:marLeft w:val="0"/>
          <w:marRight w:val="0"/>
          <w:marTop w:val="-20"/>
          <w:marBottom w:val="-20"/>
          <w:divBdr>
            <w:top w:val="none" w:sz="0" w:space="0" w:color="auto"/>
            <w:left w:val="none" w:sz="0" w:space="0" w:color="auto"/>
            <w:bottom w:val="none" w:sz="0" w:space="0" w:color="auto"/>
            <w:right w:val="none" w:sz="0" w:space="0" w:color="auto"/>
          </w:divBdr>
        </w:div>
        <w:div w:id="327">
          <w:marLeft w:val="0"/>
          <w:marRight w:val="0"/>
          <w:marTop w:val="-20"/>
          <w:marBottom w:val="-20"/>
          <w:divBdr>
            <w:top w:val="none" w:sz="0" w:space="0" w:color="auto"/>
            <w:left w:val="none" w:sz="0" w:space="0" w:color="auto"/>
            <w:bottom w:val="none" w:sz="0" w:space="0" w:color="auto"/>
            <w:right w:val="none" w:sz="0" w:space="0" w:color="auto"/>
          </w:divBdr>
        </w:div>
        <w:div w:id="328">
          <w:marLeft w:val="0"/>
          <w:marRight w:val="0"/>
          <w:marTop w:val="-20"/>
          <w:marBottom w:val="-20"/>
          <w:divBdr>
            <w:top w:val="none" w:sz="0" w:space="0" w:color="auto"/>
            <w:left w:val="none" w:sz="0" w:space="0" w:color="auto"/>
            <w:bottom w:val="none" w:sz="0" w:space="0" w:color="auto"/>
            <w:right w:val="none" w:sz="0" w:space="0" w:color="auto"/>
          </w:divBdr>
        </w:div>
        <w:div w:id="329">
          <w:marLeft w:val="0"/>
          <w:marRight w:val="0"/>
          <w:marTop w:val="-20"/>
          <w:marBottom w:val="-20"/>
          <w:divBdr>
            <w:top w:val="none" w:sz="0" w:space="0" w:color="auto"/>
            <w:left w:val="none" w:sz="0" w:space="0" w:color="auto"/>
            <w:bottom w:val="none" w:sz="0" w:space="0" w:color="auto"/>
            <w:right w:val="none" w:sz="0" w:space="0" w:color="auto"/>
          </w:divBdr>
        </w:div>
        <w:div w:id="330">
          <w:marLeft w:val="0"/>
          <w:marRight w:val="0"/>
          <w:marTop w:val="-20"/>
          <w:marBottom w:val="-20"/>
          <w:divBdr>
            <w:top w:val="none" w:sz="0" w:space="0" w:color="auto"/>
            <w:left w:val="none" w:sz="0" w:space="0" w:color="auto"/>
            <w:bottom w:val="none" w:sz="0" w:space="0" w:color="auto"/>
            <w:right w:val="none" w:sz="0" w:space="0" w:color="auto"/>
          </w:divBdr>
        </w:div>
        <w:div w:id="331">
          <w:marLeft w:val="0"/>
          <w:marRight w:val="0"/>
          <w:marTop w:val="-20"/>
          <w:marBottom w:val="-20"/>
          <w:divBdr>
            <w:top w:val="none" w:sz="0" w:space="0" w:color="auto"/>
            <w:left w:val="none" w:sz="0" w:space="0" w:color="auto"/>
            <w:bottom w:val="none" w:sz="0" w:space="0" w:color="auto"/>
            <w:right w:val="none" w:sz="0" w:space="0" w:color="auto"/>
          </w:divBdr>
        </w:div>
        <w:div w:id="332">
          <w:marLeft w:val="0"/>
          <w:marRight w:val="0"/>
          <w:marTop w:val="-20"/>
          <w:marBottom w:val="-20"/>
          <w:divBdr>
            <w:top w:val="none" w:sz="0" w:space="0" w:color="auto"/>
            <w:left w:val="none" w:sz="0" w:space="0" w:color="auto"/>
            <w:bottom w:val="none" w:sz="0" w:space="0" w:color="auto"/>
            <w:right w:val="none" w:sz="0" w:space="0" w:color="auto"/>
          </w:divBdr>
        </w:div>
        <w:div w:id="333">
          <w:marLeft w:val="0"/>
          <w:marRight w:val="0"/>
          <w:marTop w:val="-20"/>
          <w:marBottom w:val="-20"/>
          <w:divBdr>
            <w:top w:val="none" w:sz="0" w:space="0" w:color="auto"/>
            <w:left w:val="none" w:sz="0" w:space="0" w:color="auto"/>
            <w:bottom w:val="none" w:sz="0" w:space="0" w:color="auto"/>
            <w:right w:val="none" w:sz="0" w:space="0" w:color="auto"/>
          </w:divBdr>
        </w:div>
        <w:div w:id="334">
          <w:marLeft w:val="0"/>
          <w:marRight w:val="0"/>
          <w:marTop w:val="-20"/>
          <w:marBottom w:val="-20"/>
          <w:divBdr>
            <w:top w:val="none" w:sz="0" w:space="0" w:color="auto"/>
            <w:left w:val="none" w:sz="0" w:space="0" w:color="auto"/>
            <w:bottom w:val="none" w:sz="0" w:space="0" w:color="auto"/>
            <w:right w:val="none" w:sz="0" w:space="0" w:color="auto"/>
          </w:divBdr>
        </w:div>
        <w:div w:id="335">
          <w:marLeft w:val="0"/>
          <w:marRight w:val="0"/>
          <w:marTop w:val="-20"/>
          <w:marBottom w:val="-20"/>
          <w:divBdr>
            <w:top w:val="none" w:sz="0" w:space="0" w:color="auto"/>
            <w:left w:val="none" w:sz="0" w:space="0" w:color="auto"/>
            <w:bottom w:val="none" w:sz="0" w:space="0" w:color="auto"/>
            <w:right w:val="none" w:sz="0" w:space="0" w:color="auto"/>
          </w:divBdr>
        </w:div>
        <w:div w:id="336">
          <w:marLeft w:val="0"/>
          <w:marRight w:val="0"/>
          <w:marTop w:val="-20"/>
          <w:marBottom w:val="-20"/>
          <w:divBdr>
            <w:top w:val="none" w:sz="0" w:space="0" w:color="auto"/>
            <w:left w:val="none" w:sz="0" w:space="0" w:color="auto"/>
            <w:bottom w:val="none" w:sz="0" w:space="0" w:color="auto"/>
            <w:right w:val="none" w:sz="0" w:space="0" w:color="auto"/>
          </w:divBdr>
        </w:div>
        <w:div w:id="337">
          <w:marLeft w:val="0"/>
          <w:marRight w:val="0"/>
          <w:marTop w:val="-20"/>
          <w:marBottom w:val="-20"/>
          <w:divBdr>
            <w:top w:val="none" w:sz="0" w:space="0" w:color="auto"/>
            <w:left w:val="none" w:sz="0" w:space="0" w:color="auto"/>
            <w:bottom w:val="none" w:sz="0" w:space="0" w:color="auto"/>
            <w:right w:val="none" w:sz="0" w:space="0" w:color="auto"/>
          </w:divBdr>
        </w:div>
        <w:div w:id="338">
          <w:marLeft w:val="0"/>
          <w:marRight w:val="0"/>
          <w:marTop w:val="-20"/>
          <w:marBottom w:val="-20"/>
          <w:divBdr>
            <w:top w:val="none" w:sz="0" w:space="0" w:color="auto"/>
            <w:left w:val="none" w:sz="0" w:space="0" w:color="auto"/>
            <w:bottom w:val="none" w:sz="0" w:space="0" w:color="auto"/>
            <w:right w:val="none" w:sz="0" w:space="0" w:color="auto"/>
          </w:divBdr>
        </w:div>
        <w:div w:id="339">
          <w:marLeft w:val="0"/>
          <w:marRight w:val="0"/>
          <w:marTop w:val="-20"/>
          <w:marBottom w:val="-20"/>
          <w:divBdr>
            <w:top w:val="none" w:sz="0" w:space="0" w:color="auto"/>
            <w:left w:val="none" w:sz="0" w:space="0" w:color="auto"/>
            <w:bottom w:val="none" w:sz="0" w:space="0" w:color="auto"/>
            <w:right w:val="none" w:sz="0" w:space="0" w:color="auto"/>
          </w:divBdr>
        </w:div>
        <w:div w:id="340">
          <w:marLeft w:val="0"/>
          <w:marRight w:val="0"/>
          <w:marTop w:val="-20"/>
          <w:marBottom w:val="-20"/>
          <w:divBdr>
            <w:top w:val="none" w:sz="0" w:space="0" w:color="auto"/>
            <w:left w:val="none" w:sz="0" w:space="0" w:color="auto"/>
            <w:bottom w:val="none" w:sz="0" w:space="0" w:color="auto"/>
            <w:right w:val="none" w:sz="0" w:space="0" w:color="auto"/>
          </w:divBdr>
        </w:div>
        <w:div w:id="341">
          <w:marLeft w:val="0"/>
          <w:marRight w:val="0"/>
          <w:marTop w:val="-20"/>
          <w:marBottom w:val="-20"/>
          <w:divBdr>
            <w:top w:val="none" w:sz="0" w:space="0" w:color="auto"/>
            <w:left w:val="none" w:sz="0" w:space="0" w:color="auto"/>
            <w:bottom w:val="none" w:sz="0" w:space="0" w:color="auto"/>
            <w:right w:val="none" w:sz="0" w:space="0" w:color="auto"/>
          </w:divBdr>
        </w:div>
        <w:div w:id="342">
          <w:marLeft w:val="0"/>
          <w:marRight w:val="0"/>
          <w:marTop w:val="-20"/>
          <w:marBottom w:val="-20"/>
          <w:divBdr>
            <w:top w:val="none" w:sz="0" w:space="0" w:color="auto"/>
            <w:left w:val="none" w:sz="0" w:space="0" w:color="auto"/>
            <w:bottom w:val="none" w:sz="0" w:space="0" w:color="auto"/>
            <w:right w:val="none" w:sz="0" w:space="0" w:color="auto"/>
          </w:divBdr>
        </w:div>
        <w:div w:id="343">
          <w:marLeft w:val="0"/>
          <w:marRight w:val="0"/>
          <w:marTop w:val="-20"/>
          <w:marBottom w:val="-20"/>
          <w:divBdr>
            <w:top w:val="none" w:sz="0" w:space="0" w:color="auto"/>
            <w:left w:val="none" w:sz="0" w:space="0" w:color="auto"/>
            <w:bottom w:val="none" w:sz="0" w:space="0" w:color="auto"/>
            <w:right w:val="none" w:sz="0" w:space="0" w:color="auto"/>
          </w:divBdr>
        </w:div>
        <w:div w:id="344">
          <w:marLeft w:val="0"/>
          <w:marRight w:val="0"/>
          <w:marTop w:val="-20"/>
          <w:marBottom w:val="-20"/>
          <w:divBdr>
            <w:top w:val="none" w:sz="0" w:space="0" w:color="auto"/>
            <w:left w:val="none" w:sz="0" w:space="0" w:color="auto"/>
            <w:bottom w:val="none" w:sz="0" w:space="0" w:color="auto"/>
            <w:right w:val="none" w:sz="0" w:space="0" w:color="auto"/>
          </w:divBdr>
        </w:div>
        <w:div w:id="345">
          <w:marLeft w:val="0"/>
          <w:marRight w:val="0"/>
          <w:marTop w:val="-20"/>
          <w:marBottom w:val="-20"/>
          <w:divBdr>
            <w:top w:val="none" w:sz="0" w:space="0" w:color="auto"/>
            <w:left w:val="none" w:sz="0" w:space="0" w:color="auto"/>
            <w:bottom w:val="none" w:sz="0" w:space="0" w:color="auto"/>
            <w:right w:val="none" w:sz="0" w:space="0" w:color="auto"/>
          </w:divBdr>
        </w:div>
        <w:div w:id="346">
          <w:marLeft w:val="0"/>
          <w:marRight w:val="0"/>
          <w:marTop w:val="-20"/>
          <w:marBottom w:val="-20"/>
          <w:divBdr>
            <w:top w:val="none" w:sz="0" w:space="0" w:color="auto"/>
            <w:left w:val="none" w:sz="0" w:space="0" w:color="auto"/>
            <w:bottom w:val="none" w:sz="0" w:space="0" w:color="auto"/>
            <w:right w:val="none" w:sz="0" w:space="0" w:color="auto"/>
          </w:divBdr>
        </w:div>
        <w:div w:id="347">
          <w:marLeft w:val="0"/>
          <w:marRight w:val="0"/>
          <w:marTop w:val="-20"/>
          <w:marBottom w:val="-20"/>
          <w:divBdr>
            <w:top w:val="none" w:sz="0" w:space="0" w:color="auto"/>
            <w:left w:val="none" w:sz="0" w:space="0" w:color="auto"/>
            <w:bottom w:val="none" w:sz="0" w:space="0" w:color="auto"/>
            <w:right w:val="none" w:sz="0" w:space="0" w:color="auto"/>
          </w:divBdr>
        </w:div>
        <w:div w:id="348">
          <w:marLeft w:val="0"/>
          <w:marRight w:val="0"/>
          <w:marTop w:val="-20"/>
          <w:marBottom w:val="-20"/>
          <w:divBdr>
            <w:top w:val="none" w:sz="0" w:space="0" w:color="auto"/>
            <w:left w:val="none" w:sz="0" w:space="0" w:color="auto"/>
            <w:bottom w:val="none" w:sz="0" w:space="0" w:color="auto"/>
            <w:right w:val="none" w:sz="0" w:space="0" w:color="auto"/>
          </w:divBdr>
        </w:div>
        <w:div w:id="349">
          <w:marLeft w:val="0"/>
          <w:marRight w:val="0"/>
          <w:marTop w:val="-20"/>
          <w:marBottom w:val="-20"/>
          <w:divBdr>
            <w:top w:val="none" w:sz="0" w:space="0" w:color="auto"/>
            <w:left w:val="none" w:sz="0" w:space="0" w:color="auto"/>
            <w:bottom w:val="none" w:sz="0" w:space="0" w:color="auto"/>
            <w:right w:val="none" w:sz="0" w:space="0" w:color="auto"/>
          </w:divBdr>
        </w:div>
        <w:div w:id="350">
          <w:marLeft w:val="0"/>
          <w:marRight w:val="0"/>
          <w:marTop w:val="-20"/>
          <w:marBottom w:val="-20"/>
          <w:divBdr>
            <w:top w:val="none" w:sz="0" w:space="0" w:color="auto"/>
            <w:left w:val="none" w:sz="0" w:space="0" w:color="auto"/>
            <w:bottom w:val="none" w:sz="0" w:space="0" w:color="auto"/>
            <w:right w:val="none" w:sz="0" w:space="0" w:color="auto"/>
          </w:divBdr>
        </w:div>
        <w:div w:id="351">
          <w:marLeft w:val="0"/>
          <w:marRight w:val="0"/>
          <w:marTop w:val="-20"/>
          <w:marBottom w:val="-20"/>
          <w:divBdr>
            <w:top w:val="none" w:sz="0" w:space="0" w:color="auto"/>
            <w:left w:val="none" w:sz="0" w:space="0" w:color="auto"/>
            <w:bottom w:val="none" w:sz="0" w:space="0" w:color="auto"/>
            <w:right w:val="none" w:sz="0" w:space="0" w:color="auto"/>
          </w:divBdr>
        </w:div>
        <w:div w:id="352">
          <w:marLeft w:val="0"/>
          <w:marRight w:val="0"/>
          <w:marTop w:val="-20"/>
          <w:marBottom w:val="-20"/>
          <w:divBdr>
            <w:top w:val="none" w:sz="0" w:space="0" w:color="auto"/>
            <w:left w:val="none" w:sz="0" w:space="0" w:color="auto"/>
            <w:bottom w:val="none" w:sz="0" w:space="0" w:color="auto"/>
            <w:right w:val="none" w:sz="0" w:space="0" w:color="auto"/>
          </w:divBdr>
        </w:div>
        <w:div w:id="353">
          <w:marLeft w:val="0"/>
          <w:marRight w:val="0"/>
          <w:marTop w:val="-20"/>
          <w:marBottom w:val="-20"/>
          <w:divBdr>
            <w:top w:val="none" w:sz="0" w:space="0" w:color="auto"/>
            <w:left w:val="none" w:sz="0" w:space="0" w:color="auto"/>
            <w:bottom w:val="none" w:sz="0" w:space="0" w:color="auto"/>
            <w:right w:val="none" w:sz="0" w:space="0" w:color="auto"/>
          </w:divBdr>
        </w:div>
        <w:div w:id="354">
          <w:marLeft w:val="0"/>
          <w:marRight w:val="0"/>
          <w:marTop w:val="-20"/>
          <w:marBottom w:val="-20"/>
          <w:divBdr>
            <w:top w:val="none" w:sz="0" w:space="0" w:color="auto"/>
            <w:left w:val="none" w:sz="0" w:space="0" w:color="auto"/>
            <w:bottom w:val="none" w:sz="0" w:space="0" w:color="auto"/>
            <w:right w:val="none" w:sz="0" w:space="0" w:color="auto"/>
          </w:divBdr>
        </w:div>
        <w:div w:id="355">
          <w:marLeft w:val="0"/>
          <w:marRight w:val="0"/>
          <w:marTop w:val="-20"/>
          <w:marBottom w:val="-20"/>
          <w:divBdr>
            <w:top w:val="none" w:sz="0" w:space="0" w:color="auto"/>
            <w:left w:val="none" w:sz="0" w:space="0" w:color="auto"/>
            <w:bottom w:val="none" w:sz="0" w:space="0" w:color="auto"/>
            <w:right w:val="none" w:sz="0" w:space="0" w:color="auto"/>
          </w:divBdr>
        </w:div>
        <w:div w:id="356">
          <w:marLeft w:val="0"/>
          <w:marRight w:val="0"/>
          <w:marTop w:val="-20"/>
          <w:marBottom w:val="-20"/>
          <w:divBdr>
            <w:top w:val="none" w:sz="0" w:space="0" w:color="auto"/>
            <w:left w:val="none" w:sz="0" w:space="0" w:color="auto"/>
            <w:bottom w:val="none" w:sz="0" w:space="0" w:color="auto"/>
            <w:right w:val="none" w:sz="0" w:space="0" w:color="auto"/>
          </w:divBdr>
        </w:div>
        <w:div w:id="357">
          <w:marLeft w:val="0"/>
          <w:marRight w:val="0"/>
          <w:marTop w:val="-20"/>
          <w:marBottom w:val="-20"/>
          <w:divBdr>
            <w:top w:val="none" w:sz="0" w:space="0" w:color="auto"/>
            <w:left w:val="none" w:sz="0" w:space="0" w:color="auto"/>
            <w:bottom w:val="none" w:sz="0" w:space="0" w:color="auto"/>
            <w:right w:val="none" w:sz="0" w:space="0" w:color="auto"/>
          </w:divBdr>
        </w:div>
        <w:div w:id="358">
          <w:marLeft w:val="0"/>
          <w:marRight w:val="0"/>
          <w:marTop w:val="-20"/>
          <w:marBottom w:val="-20"/>
          <w:divBdr>
            <w:top w:val="none" w:sz="0" w:space="0" w:color="auto"/>
            <w:left w:val="none" w:sz="0" w:space="0" w:color="auto"/>
            <w:bottom w:val="none" w:sz="0" w:space="0" w:color="auto"/>
            <w:right w:val="none" w:sz="0" w:space="0" w:color="auto"/>
          </w:divBdr>
        </w:div>
        <w:div w:id="359">
          <w:marLeft w:val="0"/>
          <w:marRight w:val="0"/>
          <w:marTop w:val="-20"/>
          <w:marBottom w:val="-20"/>
          <w:divBdr>
            <w:top w:val="none" w:sz="0" w:space="0" w:color="auto"/>
            <w:left w:val="none" w:sz="0" w:space="0" w:color="auto"/>
            <w:bottom w:val="none" w:sz="0" w:space="0" w:color="auto"/>
            <w:right w:val="none" w:sz="0" w:space="0" w:color="auto"/>
          </w:divBdr>
        </w:div>
        <w:div w:id="360">
          <w:marLeft w:val="0"/>
          <w:marRight w:val="0"/>
          <w:marTop w:val="-20"/>
          <w:marBottom w:val="-20"/>
          <w:divBdr>
            <w:top w:val="none" w:sz="0" w:space="0" w:color="auto"/>
            <w:left w:val="none" w:sz="0" w:space="0" w:color="auto"/>
            <w:bottom w:val="none" w:sz="0" w:space="0" w:color="auto"/>
            <w:right w:val="none" w:sz="0" w:space="0" w:color="auto"/>
          </w:divBdr>
        </w:div>
        <w:div w:id="361">
          <w:marLeft w:val="0"/>
          <w:marRight w:val="0"/>
          <w:marTop w:val="-20"/>
          <w:marBottom w:val="-20"/>
          <w:divBdr>
            <w:top w:val="none" w:sz="0" w:space="0" w:color="auto"/>
            <w:left w:val="none" w:sz="0" w:space="0" w:color="auto"/>
            <w:bottom w:val="none" w:sz="0" w:space="0" w:color="auto"/>
            <w:right w:val="none" w:sz="0" w:space="0" w:color="auto"/>
          </w:divBdr>
        </w:div>
        <w:div w:id="362">
          <w:marLeft w:val="0"/>
          <w:marRight w:val="0"/>
          <w:marTop w:val="-20"/>
          <w:marBottom w:val="-20"/>
          <w:divBdr>
            <w:top w:val="none" w:sz="0" w:space="0" w:color="auto"/>
            <w:left w:val="none" w:sz="0" w:space="0" w:color="auto"/>
            <w:bottom w:val="none" w:sz="0" w:space="0" w:color="auto"/>
            <w:right w:val="none" w:sz="0" w:space="0" w:color="auto"/>
          </w:divBdr>
        </w:div>
        <w:div w:id="363">
          <w:marLeft w:val="0"/>
          <w:marRight w:val="0"/>
          <w:marTop w:val="-20"/>
          <w:marBottom w:val="-20"/>
          <w:divBdr>
            <w:top w:val="none" w:sz="0" w:space="0" w:color="auto"/>
            <w:left w:val="none" w:sz="0" w:space="0" w:color="auto"/>
            <w:bottom w:val="none" w:sz="0" w:space="0" w:color="auto"/>
            <w:right w:val="none" w:sz="0" w:space="0" w:color="auto"/>
          </w:divBdr>
        </w:div>
        <w:div w:id="364">
          <w:marLeft w:val="0"/>
          <w:marRight w:val="0"/>
          <w:marTop w:val="-20"/>
          <w:marBottom w:val="-20"/>
          <w:divBdr>
            <w:top w:val="none" w:sz="0" w:space="0" w:color="auto"/>
            <w:left w:val="none" w:sz="0" w:space="0" w:color="auto"/>
            <w:bottom w:val="none" w:sz="0" w:space="0" w:color="auto"/>
            <w:right w:val="none" w:sz="0" w:space="0" w:color="auto"/>
          </w:divBdr>
        </w:div>
        <w:div w:id="365">
          <w:marLeft w:val="0"/>
          <w:marRight w:val="0"/>
          <w:marTop w:val="-20"/>
          <w:marBottom w:val="-20"/>
          <w:divBdr>
            <w:top w:val="none" w:sz="0" w:space="0" w:color="auto"/>
            <w:left w:val="none" w:sz="0" w:space="0" w:color="auto"/>
            <w:bottom w:val="none" w:sz="0" w:space="0" w:color="auto"/>
            <w:right w:val="none" w:sz="0" w:space="0" w:color="auto"/>
          </w:divBdr>
        </w:div>
        <w:div w:id="366">
          <w:marLeft w:val="0"/>
          <w:marRight w:val="0"/>
          <w:marTop w:val="-20"/>
          <w:marBottom w:val="-20"/>
          <w:divBdr>
            <w:top w:val="none" w:sz="0" w:space="0" w:color="auto"/>
            <w:left w:val="none" w:sz="0" w:space="0" w:color="auto"/>
            <w:bottom w:val="none" w:sz="0" w:space="0" w:color="auto"/>
            <w:right w:val="none" w:sz="0" w:space="0" w:color="auto"/>
          </w:divBdr>
        </w:div>
        <w:div w:id="367">
          <w:marLeft w:val="0"/>
          <w:marRight w:val="0"/>
          <w:marTop w:val="-20"/>
          <w:marBottom w:val="-20"/>
          <w:divBdr>
            <w:top w:val="none" w:sz="0" w:space="0" w:color="auto"/>
            <w:left w:val="none" w:sz="0" w:space="0" w:color="auto"/>
            <w:bottom w:val="none" w:sz="0" w:space="0" w:color="auto"/>
            <w:right w:val="none" w:sz="0" w:space="0" w:color="auto"/>
          </w:divBdr>
        </w:div>
        <w:div w:id="368">
          <w:marLeft w:val="0"/>
          <w:marRight w:val="0"/>
          <w:marTop w:val="-20"/>
          <w:marBottom w:val="-20"/>
          <w:divBdr>
            <w:top w:val="none" w:sz="0" w:space="0" w:color="auto"/>
            <w:left w:val="none" w:sz="0" w:space="0" w:color="auto"/>
            <w:bottom w:val="none" w:sz="0" w:space="0" w:color="auto"/>
            <w:right w:val="none" w:sz="0" w:space="0" w:color="auto"/>
          </w:divBdr>
        </w:div>
        <w:div w:id="369">
          <w:marLeft w:val="0"/>
          <w:marRight w:val="0"/>
          <w:marTop w:val="-20"/>
          <w:marBottom w:val="-20"/>
          <w:divBdr>
            <w:top w:val="none" w:sz="0" w:space="0" w:color="auto"/>
            <w:left w:val="none" w:sz="0" w:space="0" w:color="auto"/>
            <w:bottom w:val="none" w:sz="0" w:space="0" w:color="auto"/>
            <w:right w:val="none" w:sz="0" w:space="0" w:color="auto"/>
          </w:divBdr>
        </w:div>
        <w:div w:id="370">
          <w:marLeft w:val="0"/>
          <w:marRight w:val="0"/>
          <w:marTop w:val="-20"/>
          <w:marBottom w:val="-20"/>
          <w:divBdr>
            <w:top w:val="none" w:sz="0" w:space="0" w:color="auto"/>
            <w:left w:val="none" w:sz="0" w:space="0" w:color="auto"/>
            <w:bottom w:val="none" w:sz="0" w:space="0" w:color="auto"/>
            <w:right w:val="none" w:sz="0" w:space="0" w:color="auto"/>
          </w:divBdr>
        </w:div>
        <w:div w:id="371">
          <w:marLeft w:val="0"/>
          <w:marRight w:val="0"/>
          <w:marTop w:val="-20"/>
          <w:marBottom w:val="-20"/>
          <w:divBdr>
            <w:top w:val="none" w:sz="0" w:space="0" w:color="auto"/>
            <w:left w:val="none" w:sz="0" w:space="0" w:color="auto"/>
            <w:bottom w:val="none" w:sz="0" w:space="0" w:color="auto"/>
            <w:right w:val="none" w:sz="0" w:space="0" w:color="auto"/>
          </w:divBdr>
        </w:div>
        <w:div w:id="372">
          <w:marLeft w:val="0"/>
          <w:marRight w:val="0"/>
          <w:marTop w:val="-20"/>
          <w:marBottom w:val="-20"/>
          <w:divBdr>
            <w:top w:val="none" w:sz="0" w:space="0" w:color="auto"/>
            <w:left w:val="none" w:sz="0" w:space="0" w:color="auto"/>
            <w:bottom w:val="none" w:sz="0" w:space="0" w:color="auto"/>
            <w:right w:val="none" w:sz="0" w:space="0" w:color="auto"/>
          </w:divBdr>
        </w:div>
        <w:div w:id="373">
          <w:marLeft w:val="0"/>
          <w:marRight w:val="0"/>
          <w:marTop w:val="-20"/>
          <w:marBottom w:val="-20"/>
          <w:divBdr>
            <w:top w:val="none" w:sz="0" w:space="0" w:color="auto"/>
            <w:left w:val="none" w:sz="0" w:space="0" w:color="auto"/>
            <w:bottom w:val="none" w:sz="0" w:space="0" w:color="auto"/>
            <w:right w:val="none" w:sz="0" w:space="0" w:color="auto"/>
          </w:divBdr>
        </w:div>
        <w:div w:id="374">
          <w:marLeft w:val="0"/>
          <w:marRight w:val="0"/>
          <w:marTop w:val="-20"/>
          <w:marBottom w:val="-20"/>
          <w:divBdr>
            <w:top w:val="none" w:sz="0" w:space="0" w:color="auto"/>
            <w:left w:val="none" w:sz="0" w:space="0" w:color="auto"/>
            <w:bottom w:val="none" w:sz="0" w:space="0" w:color="auto"/>
            <w:right w:val="none" w:sz="0" w:space="0" w:color="auto"/>
          </w:divBdr>
        </w:div>
        <w:div w:id="375">
          <w:marLeft w:val="0"/>
          <w:marRight w:val="0"/>
          <w:marTop w:val="-20"/>
          <w:marBottom w:val="-20"/>
          <w:divBdr>
            <w:top w:val="none" w:sz="0" w:space="0" w:color="auto"/>
            <w:left w:val="none" w:sz="0" w:space="0" w:color="auto"/>
            <w:bottom w:val="none" w:sz="0" w:space="0" w:color="auto"/>
            <w:right w:val="none" w:sz="0" w:space="0" w:color="auto"/>
          </w:divBdr>
        </w:div>
        <w:div w:id="376">
          <w:marLeft w:val="0"/>
          <w:marRight w:val="0"/>
          <w:marTop w:val="-20"/>
          <w:marBottom w:val="-20"/>
          <w:divBdr>
            <w:top w:val="none" w:sz="0" w:space="0" w:color="auto"/>
            <w:left w:val="none" w:sz="0" w:space="0" w:color="auto"/>
            <w:bottom w:val="none" w:sz="0" w:space="0" w:color="auto"/>
            <w:right w:val="none" w:sz="0" w:space="0" w:color="auto"/>
          </w:divBdr>
        </w:div>
        <w:div w:id="377">
          <w:marLeft w:val="0"/>
          <w:marRight w:val="0"/>
          <w:marTop w:val="-20"/>
          <w:marBottom w:val="-20"/>
          <w:divBdr>
            <w:top w:val="none" w:sz="0" w:space="0" w:color="auto"/>
            <w:left w:val="none" w:sz="0" w:space="0" w:color="auto"/>
            <w:bottom w:val="none" w:sz="0" w:space="0" w:color="auto"/>
            <w:right w:val="none" w:sz="0" w:space="0" w:color="auto"/>
          </w:divBdr>
        </w:div>
        <w:div w:id="378">
          <w:marLeft w:val="0"/>
          <w:marRight w:val="0"/>
          <w:marTop w:val="-20"/>
          <w:marBottom w:val="-20"/>
          <w:divBdr>
            <w:top w:val="none" w:sz="0" w:space="0" w:color="auto"/>
            <w:left w:val="none" w:sz="0" w:space="0" w:color="auto"/>
            <w:bottom w:val="none" w:sz="0" w:space="0" w:color="auto"/>
            <w:right w:val="none" w:sz="0" w:space="0" w:color="auto"/>
          </w:divBdr>
        </w:div>
        <w:div w:id="379">
          <w:marLeft w:val="0"/>
          <w:marRight w:val="0"/>
          <w:marTop w:val="-20"/>
          <w:marBottom w:val="-20"/>
          <w:divBdr>
            <w:top w:val="none" w:sz="0" w:space="0" w:color="auto"/>
            <w:left w:val="none" w:sz="0" w:space="0" w:color="auto"/>
            <w:bottom w:val="none" w:sz="0" w:space="0" w:color="auto"/>
            <w:right w:val="none" w:sz="0" w:space="0" w:color="auto"/>
          </w:divBdr>
        </w:div>
        <w:div w:id="380">
          <w:marLeft w:val="0"/>
          <w:marRight w:val="0"/>
          <w:marTop w:val="-20"/>
          <w:marBottom w:val="-20"/>
          <w:divBdr>
            <w:top w:val="none" w:sz="0" w:space="0" w:color="auto"/>
            <w:left w:val="none" w:sz="0" w:space="0" w:color="auto"/>
            <w:bottom w:val="none" w:sz="0" w:space="0" w:color="auto"/>
            <w:right w:val="none" w:sz="0" w:space="0" w:color="auto"/>
          </w:divBdr>
        </w:div>
        <w:div w:id="381">
          <w:marLeft w:val="0"/>
          <w:marRight w:val="0"/>
          <w:marTop w:val="-20"/>
          <w:marBottom w:val="-20"/>
          <w:divBdr>
            <w:top w:val="none" w:sz="0" w:space="0" w:color="auto"/>
            <w:left w:val="none" w:sz="0" w:space="0" w:color="auto"/>
            <w:bottom w:val="none" w:sz="0" w:space="0" w:color="auto"/>
            <w:right w:val="none" w:sz="0" w:space="0" w:color="auto"/>
          </w:divBdr>
        </w:div>
        <w:div w:id="382">
          <w:marLeft w:val="0"/>
          <w:marRight w:val="0"/>
          <w:marTop w:val="-20"/>
          <w:marBottom w:val="-20"/>
          <w:divBdr>
            <w:top w:val="none" w:sz="0" w:space="0" w:color="auto"/>
            <w:left w:val="none" w:sz="0" w:space="0" w:color="auto"/>
            <w:bottom w:val="none" w:sz="0" w:space="0" w:color="auto"/>
            <w:right w:val="none" w:sz="0" w:space="0" w:color="auto"/>
          </w:divBdr>
        </w:div>
        <w:div w:id="383">
          <w:marLeft w:val="0"/>
          <w:marRight w:val="0"/>
          <w:marTop w:val="-20"/>
          <w:marBottom w:val="-20"/>
          <w:divBdr>
            <w:top w:val="none" w:sz="0" w:space="0" w:color="auto"/>
            <w:left w:val="none" w:sz="0" w:space="0" w:color="auto"/>
            <w:bottom w:val="none" w:sz="0" w:space="0" w:color="auto"/>
            <w:right w:val="none" w:sz="0" w:space="0" w:color="auto"/>
          </w:divBdr>
        </w:div>
        <w:div w:id="384">
          <w:marLeft w:val="0"/>
          <w:marRight w:val="0"/>
          <w:marTop w:val="-20"/>
          <w:marBottom w:val="-20"/>
          <w:divBdr>
            <w:top w:val="none" w:sz="0" w:space="0" w:color="auto"/>
            <w:left w:val="none" w:sz="0" w:space="0" w:color="auto"/>
            <w:bottom w:val="none" w:sz="0" w:space="0" w:color="auto"/>
            <w:right w:val="none" w:sz="0" w:space="0" w:color="auto"/>
          </w:divBdr>
        </w:div>
        <w:div w:id="385">
          <w:marLeft w:val="0"/>
          <w:marRight w:val="0"/>
          <w:marTop w:val="-20"/>
          <w:marBottom w:val="-20"/>
          <w:divBdr>
            <w:top w:val="none" w:sz="0" w:space="0" w:color="auto"/>
            <w:left w:val="none" w:sz="0" w:space="0" w:color="auto"/>
            <w:bottom w:val="none" w:sz="0" w:space="0" w:color="auto"/>
            <w:right w:val="none" w:sz="0" w:space="0" w:color="auto"/>
          </w:divBdr>
        </w:div>
        <w:div w:id="386">
          <w:marLeft w:val="0"/>
          <w:marRight w:val="0"/>
          <w:marTop w:val="-20"/>
          <w:marBottom w:val="-20"/>
          <w:divBdr>
            <w:top w:val="none" w:sz="0" w:space="0" w:color="auto"/>
            <w:left w:val="none" w:sz="0" w:space="0" w:color="auto"/>
            <w:bottom w:val="none" w:sz="0" w:space="0" w:color="auto"/>
            <w:right w:val="none" w:sz="0" w:space="0" w:color="auto"/>
          </w:divBdr>
        </w:div>
        <w:div w:id="387">
          <w:marLeft w:val="0"/>
          <w:marRight w:val="0"/>
          <w:marTop w:val="-20"/>
          <w:marBottom w:val="-20"/>
          <w:divBdr>
            <w:top w:val="none" w:sz="0" w:space="0" w:color="auto"/>
            <w:left w:val="none" w:sz="0" w:space="0" w:color="auto"/>
            <w:bottom w:val="none" w:sz="0" w:space="0" w:color="auto"/>
            <w:right w:val="none" w:sz="0" w:space="0" w:color="auto"/>
          </w:divBdr>
        </w:div>
        <w:div w:id="388">
          <w:marLeft w:val="0"/>
          <w:marRight w:val="0"/>
          <w:marTop w:val="-20"/>
          <w:marBottom w:val="-20"/>
          <w:divBdr>
            <w:top w:val="none" w:sz="0" w:space="0" w:color="auto"/>
            <w:left w:val="none" w:sz="0" w:space="0" w:color="auto"/>
            <w:bottom w:val="none" w:sz="0" w:space="0" w:color="auto"/>
            <w:right w:val="none" w:sz="0" w:space="0" w:color="auto"/>
          </w:divBdr>
        </w:div>
        <w:div w:id="389">
          <w:marLeft w:val="0"/>
          <w:marRight w:val="0"/>
          <w:marTop w:val="-20"/>
          <w:marBottom w:val="-20"/>
          <w:divBdr>
            <w:top w:val="none" w:sz="0" w:space="0" w:color="auto"/>
            <w:left w:val="none" w:sz="0" w:space="0" w:color="auto"/>
            <w:bottom w:val="none" w:sz="0" w:space="0" w:color="auto"/>
            <w:right w:val="none" w:sz="0" w:space="0" w:color="auto"/>
          </w:divBdr>
        </w:div>
        <w:div w:id="390">
          <w:marLeft w:val="0"/>
          <w:marRight w:val="0"/>
          <w:marTop w:val="-20"/>
          <w:marBottom w:val="-20"/>
          <w:divBdr>
            <w:top w:val="none" w:sz="0" w:space="0" w:color="auto"/>
            <w:left w:val="none" w:sz="0" w:space="0" w:color="auto"/>
            <w:bottom w:val="none" w:sz="0" w:space="0" w:color="auto"/>
            <w:right w:val="none" w:sz="0" w:space="0" w:color="auto"/>
          </w:divBdr>
        </w:div>
        <w:div w:id="391">
          <w:marLeft w:val="0"/>
          <w:marRight w:val="0"/>
          <w:marTop w:val="-20"/>
          <w:marBottom w:val="-20"/>
          <w:divBdr>
            <w:top w:val="none" w:sz="0" w:space="0" w:color="auto"/>
            <w:left w:val="none" w:sz="0" w:space="0" w:color="auto"/>
            <w:bottom w:val="none" w:sz="0" w:space="0" w:color="auto"/>
            <w:right w:val="none" w:sz="0" w:space="0" w:color="auto"/>
          </w:divBdr>
        </w:div>
        <w:div w:id="392">
          <w:marLeft w:val="0"/>
          <w:marRight w:val="0"/>
          <w:marTop w:val="-20"/>
          <w:marBottom w:val="-20"/>
          <w:divBdr>
            <w:top w:val="none" w:sz="0" w:space="0" w:color="auto"/>
            <w:left w:val="none" w:sz="0" w:space="0" w:color="auto"/>
            <w:bottom w:val="none" w:sz="0" w:space="0" w:color="auto"/>
            <w:right w:val="none" w:sz="0" w:space="0" w:color="auto"/>
          </w:divBdr>
        </w:div>
        <w:div w:id="393">
          <w:marLeft w:val="0"/>
          <w:marRight w:val="0"/>
          <w:marTop w:val="-20"/>
          <w:marBottom w:val="-20"/>
          <w:divBdr>
            <w:top w:val="none" w:sz="0" w:space="0" w:color="auto"/>
            <w:left w:val="none" w:sz="0" w:space="0" w:color="auto"/>
            <w:bottom w:val="none" w:sz="0" w:space="0" w:color="auto"/>
            <w:right w:val="none" w:sz="0" w:space="0" w:color="auto"/>
          </w:divBdr>
        </w:div>
        <w:div w:id="394">
          <w:marLeft w:val="0"/>
          <w:marRight w:val="0"/>
          <w:marTop w:val="-20"/>
          <w:marBottom w:val="-20"/>
          <w:divBdr>
            <w:top w:val="none" w:sz="0" w:space="0" w:color="auto"/>
            <w:left w:val="none" w:sz="0" w:space="0" w:color="auto"/>
            <w:bottom w:val="none" w:sz="0" w:space="0" w:color="auto"/>
            <w:right w:val="none" w:sz="0" w:space="0" w:color="auto"/>
          </w:divBdr>
        </w:div>
        <w:div w:id="395">
          <w:marLeft w:val="0"/>
          <w:marRight w:val="0"/>
          <w:marTop w:val="-20"/>
          <w:marBottom w:val="-20"/>
          <w:divBdr>
            <w:top w:val="none" w:sz="0" w:space="0" w:color="auto"/>
            <w:left w:val="none" w:sz="0" w:space="0" w:color="auto"/>
            <w:bottom w:val="none" w:sz="0" w:space="0" w:color="auto"/>
            <w:right w:val="none" w:sz="0" w:space="0" w:color="auto"/>
          </w:divBdr>
        </w:div>
        <w:div w:id="396">
          <w:marLeft w:val="0"/>
          <w:marRight w:val="0"/>
          <w:marTop w:val="-20"/>
          <w:marBottom w:val="-20"/>
          <w:divBdr>
            <w:top w:val="none" w:sz="0" w:space="0" w:color="auto"/>
            <w:left w:val="none" w:sz="0" w:space="0" w:color="auto"/>
            <w:bottom w:val="none" w:sz="0" w:space="0" w:color="auto"/>
            <w:right w:val="none" w:sz="0" w:space="0" w:color="auto"/>
          </w:divBdr>
        </w:div>
        <w:div w:id="397">
          <w:marLeft w:val="0"/>
          <w:marRight w:val="0"/>
          <w:marTop w:val="-20"/>
          <w:marBottom w:val="-20"/>
          <w:divBdr>
            <w:top w:val="none" w:sz="0" w:space="0" w:color="auto"/>
            <w:left w:val="none" w:sz="0" w:space="0" w:color="auto"/>
            <w:bottom w:val="none" w:sz="0" w:space="0" w:color="auto"/>
            <w:right w:val="none" w:sz="0" w:space="0" w:color="auto"/>
          </w:divBdr>
        </w:div>
        <w:div w:id="398">
          <w:marLeft w:val="0"/>
          <w:marRight w:val="0"/>
          <w:marTop w:val="-20"/>
          <w:marBottom w:val="-20"/>
          <w:divBdr>
            <w:top w:val="none" w:sz="0" w:space="0" w:color="auto"/>
            <w:left w:val="none" w:sz="0" w:space="0" w:color="auto"/>
            <w:bottom w:val="none" w:sz="0" w:space="0" w:color="auto"/>
            <w:right w:val="none" w:sz="0" w:space="0" w:color="auto"/>
          </w:divBdr>
        </w:div>
        <w:div w:id="399">
          <w:marLeft w:val="0"/>
          <w:marRight w:val="0"/>
          <w:marTop w:val="-20"/>
          <w:marBottom w:val="-20"/>
          <w:divBdr>
            <w:top w:val="none" w:sz="0" w:space="0" w:color="auto"/>
            <w:left w:val="none" w:sz="0" w:space="0" w:color="auto"/>
            <w:bottom w:val="none" w:sz="0" w:space="0" w:color="auto"/>
            <w:right w:val="none" w:sz="0" w:space="0" w:color="auto"/>
          </w:divBdr>
        </w:div>
        <w:div w:id="400">
          <w:marLeft w:val="0"/>
          <w:marRight w:val="0"/>
          <w:marTop w:val="-20"/>
          <w:marBottom w:val="-20"/>
          <w:divBdr>
            <w:top w:val="none" w:sz="0" w:space="0" w:color="auto"/>
            <w:left w:val="none" w:sz="0" w:space="0" w:color="auto"/>
            <w:bottom w:val="none" w:sz="0" w:space="0" w:color="auto"/>
            <w:right w:val="none" w:sz="0" w:space="0" w:color="auto"/>
          </w:divBdr>
        </w:div>
        <w:div w:id="401">
          <w:marLeft w:val="0"/>
          <w:marRight w:val="0"/>
          <w:marTop w:val="-20"/>
          <w:marBottom w:val="-20"/>
          <w:divBdr>
            <w:top w:val="none" w:sz="0" w:space="0" w:color="auto"/>
            <w:left w:val="none" w:sz="0" w:space="0" w:color="auto"/>
            <w:bottom w:val="none" w:sz="0" w:space="0" w:color="auto"/>
            <w:right w:val="none" w:sz="0" w:space="0" w:color="auto"/>
          </w:divBdr>
        </w:div>
        <w:div w:id="402">
          <w:marLeft w:val="0"/>
          <w:marRight w:val="0"/>
          <w:marTop w:val="-20"/>
          <w:marBottom w:val="-20"/>
          <w:divBdr>
            <w:top w:val="none" w:sz="0" w:space="0" w:color="auto"/>
            <w:left w:val="none" w:sz="0" w:space="0" w:color="auto"/>
            <w:bottom w:val="none" w:sz="0" w:space="0" w:color="auto"/>
            <w:right w:val="none" w:sz="0" w:space="0" w:color="auto"/>
          </w:divBdr>
        </w:div>
        <w:div w:id="403">
          <w:marLeft w:val="0"/>
          <w:marRight w:val="0"/>
          <w:marTop w:val="-20"/>
          <w:marBottom w:val="-20"/>
          <w:divBdr>
            <w:top w:val="none" w:sz="0" w:space="0" w:color="auto"/>
            <w:left w:val="none" w:sz="0" w:space="0" w:color="auto"/>
            <w:bottom w:val="none" w:sz="0" w:space="0" w:color="auto"/>
            <w:right w:val="none" w:sz="0" w:space="0" w:color="auto"/>
          </w:divBdr>
        </w:div>
        <w:div w:id="404">
          <w:marLeft w:val="0"/>
          <w:marRight w:val="0"/>
          <w:marTop w:val="-20"/>
          <w:marBottom w:val="-20"/>
          <w:divBdr>
            <w:top w:val="none" w:sz="0" w:space="0" w:color="auto"/>
            <w:left w:val="none" w:sz="0" w:space="0" w:color="auto"/>
            <w:bottom w:val="none" w:sz="0" w:space="0" w:color="auto"/>
            <w:right w:val="none" w:sz="0" w:space="0" w:color="auto"/>
          </w:divBdr>
        </w:div>
        <w:div w:id="405">
          <w:marLeft w:val="0"/>
          <w:marRight w:val="0"/>
          <w:marTop w:val="-20"/>
          <w:marBottom w:val="-20"/>
          <w:divBdr>
            <w:top w:val="none" w:sz="0" w:space="0" w:color="auto"/>
            <w:left w:val="none" w:sz="0" w:space="0" w:color="auto"/>
            <w:bottom w:val="none" w:sz="0" w:space="0" w:color="auto"/>
            <w:right w:val="none" w:sz="0" w:space="0" w:color="auto"/>
          </w:divBdr>
        </w:div>
        <w:div w:id="406">
          <w:marLeft w:val="0"/>
          <w:marRight w:val="0"/>
          <w:marTop w:val="-20"/>
          <w:marBottom w:val="-20"/>
          <w:divBdr>
            <w:top w:val="none" w:sz="0" w:space="0" w:color="auto"/>
            <w:left w:val="none" w:sz="0" w:space="0" w:color="auto"/>
            <w:bottom w:val="none" w:sz="0" w:space="0" w:color="auto"/>
            <w:right w:val="none" w:sz="0" w:space="0" w:color="auto"/>
          </w:divBdr>
        </w:div>
        <w:div w:id="407">
          <w:marLeft w:val="0"/>
          <w:marRight w:val="0"/>
          <w:marTop w:val="-20"/>
          <w:marBottom w:val="-20"/>
          <w:divBdr>
            <w:top w:val="none" w:sz="0" w:space="0" w:color="auto"/>
            <w:left w:val="none" w:sz="0" w:space="0" w:color="auto"/>
            <w:bottom w:val="none" w:sz="0" w:space="0" w:color="auto"/>
            <w:right w:val="none" w:sz="0" w:space="0" w:color="auto"/>
          </w:divBdr>
        </w:div>
        <w:div w:id="408">
          <w:marLeft w:val="0"/>
          <w:marRight w:val="0"/>
          <w:marTop w:val="-20"/>
          <w:marBottom w:val="-20"/>
          <w:divBdr>
            <w:top w:val="none" w:sz="0" w:space="0" w:color="auto"/>
            <w:left w:val="none" w:sz="0" w:space="0" w:color="auto"/>
            <w:bottom w:val="none" w:sz="0" w:space="0" w:color="auto"/>
            <w:right w:val="none" w:sz="0" w:space="0" w:color="auto"/>
          </w:divBdr>
        </w:div>
        <w:div w:id="409">
          <w:marLeft w:val="0"/>
          <w:marRight w:val="0"/>
          <w:marTop w:val="-20"/>
          <w:marBottom w:val="-20"/>
          <w:divBdr>
            <w:top w:val="none" w:sz="0" w:space="0" w:color="auto"/>
            <w:left w:val="none" w:sz="0" w:space="0" w:color="auto"/>
            <w:bottom w:val="none" w:sz="0" w:space="0" w:color="auto"/>
            <w:right w:val="none" w:sz="0" w:space="0" w:color="auto"/>
          </w:divBdr>
        </w:div>
        <w:div w:id="410">
          <w:marLeft w:val="0"/>
          <w:marRight w:val="0"/>
          <w:marTop w:val="-20"/>
          <w:marBottom w:val="-20"/>
          <w:divBdr>
            <w:top w:val="none" w:sz="0" w:space="0" w:color="auto"/>
            <w:left w:val="none" w:sz="0" w:space="0" w:color="auto"/>
            <w:bottom w:val="none" w:sz="0" w:space="0" w:color="auto"/>
            <w:right w:val="none" w:sz="0" w:space="0" w:color="auto"/>
          </w:divBdr>
        </w:div>
        <w:div w:id="411">
          <w:marLeft w:val="0"/>
          <w:marRight w:val="0"/>
          <w:marTop w:val="-20"/>
          <w:marBottom w:val="-20"/>
          <w:divBdr>
            <w:top w:val="none" w:sz="0" w:space="0" w:color="auto"/>
            <w:left w:val="none" w:sz="0" w:space="0" w:color="auto"/>
            <w:bottom w:val="none" w:sz="0" w:space="0" w:color="auto"/>
            <w:right w:val="none" w:sz="0" w:space="0" w:color="auto"/>
          </w:divBdr>
        </w:div>
        <w:div w:id="412">
          <w:marLeft w:val="0"/>
          <w:marRight w:val="0"/>
          <w:marTop w:val="-20"/>
          <w:marBottom w:val="-20"/>
          <w:divBdr>
            <w:top w:val="none" w:sz="0" w:space="0" w:color="auto"/>
            <w:left w:val="none" w:sz="0" w:space="0" w:color="auto"/>
            <w:bottom w:val="none" w:sz="0" w:space="0" w:color="auto"/>
            <w:right w:val="none" w:sz="0" w:space="0" w:color="auto"/>
          </w:divBdr>
        </w:div>
        <w:div w:id="413">
          <w:marLeft w:val="0"/>
          <w:marRight w:val="0"/>
          <w:marTop w:val="-20"/>
          <w:marBottom w:val="-20"/>
          <w:divBdr>
            <w:top w:val="none" w:sz="0" w:space="0" w:color="auto"/>
            <w:left w:val="none" w:sz="0" w:space="0" w:color="auto"/>
            <w:bottom w:val="none" w:sz="0" w:space="0" w:color="auto"/>
            <w:right w:val="none" w:sz="0" w:space="0" w:color="auto"/>
          </w:divBdr>
        </w:div>
        <w:div w:id="414">
          <w:marLeft w:val="0"/>
          <w:marRight w:val="0"/>
          <w:marTop w:val="-20"/>
          <w:marBottom w:val="-20"/>
          <w:divBdr>
            <w:top w:val="none" w:sz="0" w:space="0" w:color="auto"/>
            <w:left w:val="none" w:sz="0" w:space="0" w:color="auto"/>
            <w:bottom w:val="none" w:sz="0" w:space="0" w:color="auto"/>
            <w:right w:val="none" w:sz="0" w:space="0" w:color="auto"/>
          </w:divBdr>
        </w:div>
        <w:div w:id="415">
          <w:marLeft w:val="0"/>
          <w:marRight w:val="0"/>
          <w:marTop w:val="-20"/>
          <w:marBottom w:val="-20"/>
          <w:divBdr>
            <w:top w:val="none" w:sz="0" w:space="0" w:color="auto"/>
            <w:left w:val="none" w:sz="0" w:space="0" w:color="auto"/>
            <w:bottom w:val="none" w:sz="0" w:space="0" w:color="auto"/>
            <w:right w:val="none" w:sz="0" w:space="0" w:color="auto"/>
          </w:divBdr>
        </w:div>
        <w:div w:id="416">
          <w:marLeft w:val="0"/>
          <w:marRight w:val="0"/>
          <w:marTop w:val="-20"/>
          <w:marBottom w:val="-20"/>
          <w:divBdr>
            <w:top w:val="none" w:sz="0" w:space="0" w:color="auto"/>
            <w:left w:val="none" w:sz="0" w:space="0" w:color="auto"/>
            <w:bottom w:val="none" w:sz="0" w:space="0" w:color="auto"/>
            <w:right w:val="none" w:sz="0" w:space="0" w:color="auto"/>
          </w:divBdr>
        </w:div>
        <w:div w:id="417">
          <w:marLeft w:val="0"/>
          <w:marRight w:val="0"/>
          <w:marTop w:val="-20"/>
          <w:marBottom w:val="-20"/>
          <w:divBdr>
            <w:top w:val="none" w:sz="0" w:space="0" w:color="auto"/>
            <w:left w:val="none" w:sz="0" w:space="0" w:color="auto"/>
            <w:bottom w:val="none" w:sz="0" w:space="0" w:color="auto"/>
            <w:right w:val="none" w:sz="0" w:space="0" w:color="auto"/>
          </w:divBdr>
        </w:div>
        <w:div w:id="418">
          <w:marLeft w:val="0"/>
          <w:marRight w:val="0"/>
          <w:marTop w:val="-20"/>
          <w:marBottom w:val="-20"/>
          <w:divBdr>
            <w:top w:val="none" w:sz="0" w:space="0" w:color="auto"/>
            <w:left w:val="none" w:sz="0" w:space="0" w:color="auto"/>
            <w:bottom w:val="none" w:sz="0" w:space="0" w:color="auto"/>
            <w:right w:val="none" w:sz="0" w:space="0" w:color="auto"/>
          </w:divBdr>
        </w:div>
        <w:div w:id="419">
          <w:marLeft w:val="0"/>
          <w:marRight w:val="0"/>
          <w:marTop w:val="-20"/>
          <w:marBottom w:val="-20"/>
          <w:divBdr>
            <w:top w:val="none" w:sz="0" w:space="0" w:color="auto"/>
            <w:left w:val="none" w:sz="0" w:space="0" w:color="auto"/>
            <w:bottom w:val="none" w:sz="0" w:space="0" w:color="auto"/>
            <w:right w:val="none" w:sz="0" w:space="0" w:color="auto"/>
          </w:divBdr>
        </w:div>
        <w:div w:id="420">
          <w:marLeft w:val="0"/>
          <w:marRight w:val="0"/>
          <w:marTop w:val="-20"/>
          <w:marBottom w:val="-20"/>
          <w:divBdr>
            <w:top w:val="none" w:sz="0" w:space="0" w:color="auto"/>
            <w:left w:val="none" w:sz="0" w:space="0" w:color="auto"/>
            <w:bottom w:val="none" w:sz="0" w:space="0" w:color="auto"/>
            <w:right w:val="none" w:sz="0" w:space="0" w:color="auto"/>
          </w:divBdr>
        </w:div>
        <w:div w:id="421">
          <w:marLeft w:val="0"/>
          <w:marRight w:val="0"/>
          <w:marTop w:val="-20"/>
          <w:marBottom w:val="-20"/>
          <w:divBdr>
            <w:top w:val="none" w:sz="0" w:space="0" w:color="auto"/>
            <w:left w:val="none" w:sz="0" w:space="0" w:color="auto"/>
            <w:bottom w:val="none" w:sz="0" w:space="0" w:color="auto"/>
            <w:right w:val="none" w:sz="0" w:space="0" w:color="auto"/>
          </w:divBdr>
        </w:div>
        <w:div w:id="422">
          <w:marLeft w:val="0"/>
          <w:marRight w:val="0"/>
          <w:marTop w:val="-20"/>
          <w:marBottom w:val="-20"/>
          <w:divBdr>
            <w:top w:val="none" w:sz="0" w:space="0" w:color="auto"/>
            <w:left w:val="none" w:sz="0" w:space="0" w:color="auto"/>
            <w:bottom w:val="none" w:sz="0" w:space="0" w:color="auto"/>
            <w:right w:val="none" w:sz="0" w:space="0" w:color="auto"/>
          </w:divBdr>
        </w:div>
        <w:div w:id="423">
          <w:marLeft w:val="0"/>
          <w:marRight w:val="0"/>
          <w:marTop w:val="-20"/>
          <w:marBottom w:val="-20"/>
          <w:divBdr>
            <w:top w:val="none" w:sz="0" w:space="0" w:color="auto"/>
            <w:left w:val="none" w:sz="0" w:space="0" w:color="auto"/>
            <w:bottom w:val="none" w:sz="0" w:space="0" w:color="auto"/>
            <w:right w:val="none" w:sz="0" w:space="0" w:color="auto"/>
          </w:divBdr>
        </w:div>
        <w:div w:id="424">
          <w:marLeft w:val="0"/>
          <w:marRight w:val="0"/>
          <w:marTop w:val="-20"/>
          <w:marBottom w:val="-20"/>
          <w:divBdr>
            <w:top w:val="none" w:sz="0" w:space="0" w:color="auto"/>
            <w:left w:val="none" w:sz="0" w:space="0" w:color="auto"/>
            <w:bottom w:val="none" w:sz="0" w:space="0" w:color="auto"/>
            <w:right w:val="none" w:sz="0" w:space="0" w:color="auto"/>
          </w:divBdr>
        </w:div>
        <w:div w:id="425">
          <w:marLeft w:val="0"/>
          <w:marRight w:val="0"/>
          <w:marTop w:val="-20"/>
          <w:marBottom w:val="-20"/>
          <w:divBdr>
            <w:top w:val="none" w:sz="0" w:space="0" w:color="auto"/>
            <w:left w:val="none" w:sz="0" w:space="0" w:color="auto"/>
            <w:bottom w:val="none" w:sz="0" w:space="0" w:color="auto"/>
            <w:right w:val="none" w:sz="0" w:space="0" w:color="auto"/>
          </w:divBdr>
        </w:div>
        <w:div w:id="426">
          <w:marLeft w:val="0"/>
          <w:marRight w:val="0"/>
          <w:marTop w:val="-20"/>
          <w:marBottom w:val="-20"/>
          <w:divBdr>
            <w:top w:val="none" w:sz="0" w:space="0" w:color="auto"/>
            <w:left w:val="none" w:sz="0" w:space="0" w:color="auto"/>
            <w:bottom w:val="none" w:sz="0" w:space="0" w:color="auto"/>
            <w:right w:val="none" w:sz="0" w:space="0" w:color="auto"/>
          </w:divBdr>
        </w:div>
        <w:div w:id="427">
          <w:marLeft w:val="0"/>
          <w:marRight w:val="0"/>
          <w:marTop w:val="-20"/>
          <w:marBottom w:val="-20"/>
          <w:divBdr>
            <w:top w:val="none" w:sz="0" w:space="0" w:color="auto"/>
            <w:left w:val="none" w:sz="0" w:space="0" w:color="auto"/>
            <w:bottom w:val="none" w:sz="0" w:space="0" w:color="auto"/>
            <w:right w:val="none" w:sz="0" w:space="0" w:color="auto"/>
          </w:divBdr>
        </w:div>
        <w:div w:id="428">
          <w:marLeft w:val="0"/>
          <w:marRight w:val="0"/>
          <w:marTop w:val="-20"/>
          <w:marBottom w:val="-20"/>
          <w:divBdr>
            <w:top w:val="none" w:sz="0" w:space="0" w:color="auto"/>
            <w:left w:val="none" w:sz="0" w:space="0" w:color="auto"/>
            <w:bottom w:val="none" w:sz="0" w:space="0" w:color="auto"/>
            <w:right w:val="none" w:sz="0" w:space="0" w:color="auto"/>
          </w:divBdr>
        </w:div>
        <w:div w:id="429">
          <w:marLeft w:val="0"/>
          <w:marRight w:val="0"/>
          <w:marTop w:val="-20"/>
          <w:marBottom w:val="-20"/>
          <w:divBdr>
            <w:top w:val="none" w:sz="0" w:space="0" w:color="auto"/>
            <w:left w:val="none" w:sz="0" w:space="0" w:color="auto"/>
            <w:bottom w:val="none" w:sz="0" w:space="0" w:color="auto"/>
            <w:right w:val="none" w:sz="0" w:space="0" w:color="auto"/>
          </w:divBdr>
        </w:div>
        <w:div w:id="430">
          <w:marLeft w:val="0"/>
          <w:marRight w:val="0"/>
          <w:marTop w:val="-20"/>
          <w:marBottom w:val="-20"/>
          <w:divBdr>
            <w:top w:val="none" w:sz="0" w:space="0" w:color="auto"/>
            <w:left w:val="none" w:sz="0" w:space="0" w:color="auto"/>
            <w:bottom w:val="none" w:sz="0" w:space="0" w:color="auto"/>
            <w:right w:val="none" w:sz="0" w:space="0" w:color="auto"/>
          </w:divBdr>
        </w:div>
        <w:div w:id="431">
          <w:marLeft w:val="0"/>
          <w:marRight w:val="0"/>
          <w:marTop w:val="-20"/>
          <w:marBottom w:val="-20"/>
          <w:divBdr>
            <w:top w:val="none" w:sz="0" w:space="0" w:color="auto"/>
            <w:left w:val="none" w:sz="0" w:space="0" w:color="auto"/>
            <w:bottom w:val="none" w:sz="0" w:space="0" w:color="auto"/>
            <w:right w:val="none" w:sz="0" w:space="0" w:color="auto"/>
          </w:divBdr>
        </w:div>
        <w:div w:id="432">
          <w:marLeft w:val="0"/>
          <w:marRight w:val="0"/>
          <w:marTop w:val="-20"/>
          <w:marBottom w:val="-20"/>
          <w:divBdr>
            <w:top w:val="none" w:sz="0" w:space="0" w:color="auto"/>
            <w:left w:val="none" w:sz="0" w:space="0" w:color="auto"/>
            <w:bottom w:val="none" w:sz="0" w:space="0" w:color="auto"/>
            <w:right w:val="none" w:sz="0" w:space="0" w:color="auto"/>
          </w:divBdr>
        </w:div>
        <w:div w:id="433">
          <w:marLeft w:val="0"/>
          <w:marRight w:val="0"/>
          <w:marTop w:val="-20"/>
          <w:marBottom w:val="-20"/>
          <w:divBdr>
            <w:top w:val="none" w:sz="0" w:space="0" w:color="auto"/>
            <w:left w:val="none" w:sz="0" w:space="0" w:color="auto"/>
            <w:bottom w:val="none" w:sz="0" w:space="0" w:color="auto"/>
            <w:right w:val="none" w:sz="0" w:space="0" w:color="auto"/>
          </w:divBdr>
        </w:div>
        <w:div w:id="434">
          <w:marLeft w:val="0"/>
          <w:marRight w:val="0"/>
          <w:marTop w:val="-20"/>
          <w:marBottom w:val="-20"/>
          <w:divBdr>
            <w:top w:val="none" w:sz="0" w:space="0" w:color="auto"/>
            <w:left w:val="none" w:sz="0" w:space="0" w:color="auto"/>
            <w:bottom w:val="none" w:sz="0" w:space="0" w:color="auto"/>
            <w:right w:val="none" w:sz="0" w:space="0" w:color="auto"/>
          </w:divBdr>
        </w:div>
        <w:div w:id="435">
          <w:marLeft w:val="0"/>
          <w:marRight w:val="0"/>
          <w:marTop w:val="-20"/>
          <w:marBottom w:val="-20"/>
          <w:divBdr>
            <w:top w:val="none" w:sz="0" w:space="0" w:color="auto"/>
            <w:left w:val="none" w:sz="0" w:space="0" w:color="auto"/>
            <w:bottom w:val="none" w:sz="0" w:space="0" w:color="auto"/>
            <w:right w:val="none" w:sz="0" w:space="0" w:color="auto"/>
          </w:divBdr>
        </w:div>
        <w:div w:id="436">
          <w:marLeft w:val="0"/>
          <w:marRight w:val="0"/>
          <w:marTop w:val="-20"/>
          <w:marBottom w:val="-20"/>
          <w:divBdr>
            <w:top w:val="none" w:sz="0" w:space="0" w:color="auto"/>
            <w:left w:val="none" w:sz="0" w:space="0" w:color="auto"/>
            <w:bottom w:val="none" w:sz="0" w:space="0" w:color="auto"/>
            <w:right w:val="none" w:sz="0" w:space="0" w:color="auto"/>
          </w:divBdr>
        </w:div>
        <w:div w:id="437">
          <w:marLeft w:val="0"/>
          <w:marRight w:val="0"/>
          <w:marTop w:val="-20"/>
          <w:marBottom w:val="-20"/>
          <w:divBdr>
            <w:top w:val="none" w:sz="0" w:space="0" w:color="auto"/>
            <w:left w:val="none" w:sz="0" w:space="0" w:color="auto"/>
            <w:bottom w:val="none" w:sz="0" w:space="0" w:color="auto"/>
            <w:right w:val="none" w:sz="0" w:space="0" w:color="auto"/>
          </w:divBdr>
        </w:div>
        <w:div w:id="438">
          <w:marLeft w:val="0"/>
          <w:marRight w:val="0"/>
          <w:marTop w:val="-20"/>
          <w:marBottom w:val="-20"/>
          <w:divBdr>
            <w:top w:val="none" w:sz="0" w:space="0" w:color="auto"/>
            <w:left w:val="none" w:sz="0" w:space="0" w:color="auto"/>
            <w:bottom w:val="none" w:sz="0" w:space="0" w:color="auto"/>
            <w:right w:val="none" w:sz="0" w:space="0" w:color="auto"/>
          </w:divBdr>
        </w:div>
        <w:div w:id="439">
          <w:marLeft w:val="0"/>
          <w:marRight w:val="0"/>
          <w:marTop w:val="-20"/>
          <w:marBottom w:val="-20"/>
          <w:divBdr>
            <w:top w:val="none" w:sz="0" w:space="0" w:color="auto"/>
            <w:left w:val="none" w:sz="0" w:space="0" w:color="auto"/>
            <w:bottom w:val="none" w:sz="0" w:space="0" w:color="auto"/>
            <w:right w:val="none" w:sz="0" w:space="0" w:color="auto"/>
          </w:divBdr>
        </w:div>
        <w:div w:id="440">
          <w:marLeft w:val="0"/>
          <w:marRight w:val="0"/>
          <w:marTop w:val="-20"/>
          <w:marBottom w:val="-20"/>
          <w:divBdr>
            <w:top w:val="none" w:sz="0" w:space="0" w:color="auto"/>
            <w:left w:val="none" w:sz="0" w:space="0" w:color="auto"/>
            <w:bottom w:val="none" w:sz="0" w:space="0" w:color="auto"/>
            <w:right w:val="none" w:sz="0" w:space="0" w:color="auto"/>
          </w:divBdr>
        </w:div>
        <w:div w:id="441">
          <w:marLeft w:val="0"/>
          <w:marRight w:val="0"/>
          <w:marTop w:val="-20"/>
          <w:marBottom w:val="-20"/>
          <w:divBdr>
            <w:top w:val="none" w:sz="0" w:space="0" w:color="auto"/>
            <w:left w:val="none" w:sz="0" w:space="0" w:color="auto"/>
            <w:bottom w:val="none" w:sz="0" w:space="0" w:color="auto"/>
            <w:right w:val="none" w:sz="0" w:space="0" w:color="auto"/>
          </w:divBdr>
        </w:div>
        <w:div w:id="442">
          <w:marLeft w:val="0"/>
          <w:marRight w:val="0"/>
          <w:marTop w:val="-20"/>
          <w:marBottom w:val="-20"/>
          <w:divBdr>
            <w:top w:val="none" w:sz="0" w:space="0" w:color="auto"/>
            <w:left w:val="none" w:sz="0" w:space="0" w:color="auto"/>
            <w:bottom w:val="none" w:sz="0" w:space="0" w:color="auto"/>
            <w:right w:val="none" w:sz="0" w:space="0" w:color="auto"/>
          </w:divBdr>
        </w:div>
        <w:div w:id="443">
          <w:marLeft w:val="0"/>
          <w:marRight w:val="0"/>
          <w:marTop w:val="-20"/>
          <w:marBottom w:val="-20"/>
          <w:divBdr>
            <w:top w:val="none" w:sz="0" w:space="0" w:color="auto"/>
            <w:left w:val="none" w:sz="0" w:space="0" w:color="auto"/>
            <w:bottom w:val="none" w:sz="0" w:space="0" w:color="auto"/>
            <w:right w:val="none" w:sz="0" w:space="0" w:color="auto"/>
          </w:divBdr>
        </w:div>
        <w:div w:id="444">
          <w:marLeft w:val="0"/>
          <w:marRight w:val="0"/>
          <w:marTop w:val="-20"/>
          <w:marBottom w:val="-20"/>
          <w:divBdr>
            <w:top w:val="none" w:sz="0" w:space="0" w:color="auto"/>
            <w:left w:val="none" w:sz="0" w:space="0" w:color="auto"/>
            <w:bottom w:val="none" w:sz="0" w:space="0" w:color="auto"/>
            <w:right w:val="none" w:sz="0" w:space="0" w:color="auto"/>
          </w:divBdr>
        </w:div>
        <w:div w:id="445">
          <w:marLeft w:val="0"/>
          <w:marRight w:val="0"/>
          <w:marTop w:val="-20"/>
          <w:marBottom w:val="-20"/>
          <w:divBdr>
            <w:top w:val="none" w:sz="0" w:space="0" w:color="auto"/>
            <w:left w:val="none" w:sz="0" w:space="0" w:color="auto"/>
            <w:bottom w:val="none" w:sz="0" w:space="0" w:color="auto"/>
            <w:right w:val="none" w:sz="0" w:space="0" w:color="auto"/>
          </w:divBdr>
        </w:div>
        <w:div w:id="446">
          <w:marLeft w:val="0"/>
          <w:marRight w:val="0"/>
          <w:marTop w:val="-20"/>
          <w:marBottom w:val="-20"/>
          <w:divBdr>
            <w:top w:val="none" w:sz="0" w:space="0" w:color="auto"/>
            <w:left w:val="none" w:sz="0" w:space="0" w:color="auto"/>
            <w:bottom w:val="none" w:sz="0" w:space="0" w:color="auto"/>
            <w:right w:val="none" w:sz="0" w:space="0" w:color="auto"/>
          </w:divBdr>
        </w:div>
        <w:div w:id="447">
          <w:marLeft w:val="0"/>
          <w:marRight w:val="0"/>
          <w:marTop w:val="-20"/>
          <w:marBottom w:val="-20"/>
          <w:divBdr>
            <w:top w:val="none" w:sz="0" w:space="0" w:color="auto"/>
            <w:left w:val="none" w:sz="0" w:space="0" w:color="auto"/>
            <w:bottom w:val="none" w:sz="0" w:space="0" w:color="auto"/>
            <w:right w:val="none" w:sz="0" w:space="0" w:color="auto"/>
          </w:divBdr>
        </w:div>
        <w:div w:id="448">
          <w:marLeft w:val="0"/>
          <w:marRight w:val="0"/>
          <w:marTop w:val="-20"/>
          <w:marBottom w:val="-20"/>
          <w:divBdr>
            <w:top w:val="none" w:sz="0" w:space="0" w:color="auto"/>
            <w:left w:val="none" w:sz="0" w:space="0" w:color="auto"/>
            <w:bottom w:val="none" w:sz="0" w:space="0" w:color="auto"/>
            <w:right w:val="none" w:sz="0" w:space="0" w:color="auto"/>
          </w:divBdr>
        </w:div>
        <w:div w:id="449">
          <w:marLeft w:val="0"/>
          <w:marRight w:val="0"/>
          <w:marTop w:val="-20"/>
          <w:marBottom w:val="-20"/>
          <w:divBdr>
            <w:top w:val="none" w:sz="0" w:space="0" w:color="auto"/>
            <w:left w:val="none" w:sz="0" w:space="0" w:color="auto"/>
            <w:bottom w:val="none" w:sz="0" w:space="0" w:color="auto"/>
            <w:right w:val="none" w:sz="0" w:space="0" w:color="auto"/>
          </w:divBdr>
        </w:div>
        <w:div w:id="450">
          <w:marLeft w:val="0"/>
          <w:marRight w:val="0"/>
          <w:marTop w:val="-20"/>
          <w:marBottom w:val="-20"/>
          <w:divBdr>
            <w:top w:val="none" w:sz="0" w:space="0" w:color="auto"/>
            <w:left w:val="none" w:sz="0" w:space="0" w:color="auto"/>
            <w:bottom w:val="none" w:sz="0" w:space="0" w:color="auto"/>
            <w:right w:val="none" w:sz="0" w:space="0" w:color="auto"/>
          </w:divBdr>
        </w:div>
        <w:div w:id="451">
          <w:marLeft w:val="0"/>
          <w:marRight w:val="0"/>
          <w:marTop w:val="-20"/>
          <w:marBottom w:val="-20"/>
          <w:divBdr>
            <w:top w:val="none" w:sz="0" w:space="0" w:color="auto"/>
            <w:left w:val="none" w:sz="0" w:space="0" w:color="auto"/>
            <w:bottom w:val="none" w:sz="0" w:space="0" w:color="auto"/>
            <w:right w:val="none" w:sz="0" w:space="0" w:color="auto"/>
          </w:divBdr>
        </w:div>
        <w:div w:id="452">
          <w:marLeft w:val="0"/>
          <w:marRight w:val="0"/>
          <w:marTop w:val="-20"/>
          <w:marBottom w:val="-20"/>
          <w:divBdr>
            <w:top w:val="none" w:sz="0" w:space="0" w:color="auto"/>
            <w:left w:val="none" w:sz="0" w:space="0" w:color="auto"/>
            <w:bottom w:val="none" w:sz="0" w:space="0" w:color="auto"/>
            <w:right w:val="none" w:sz="0" w:space="0" w:color="auto"/>
          </w:divBdr>
        </w:div>
        <w:div w:id="453">
          <w:marLeft w:val="0"/>
          <w:marRight w:val="0"/>
          <w:marTop w:val="-20"/>
          <w:marBottom w:val="-20"/>
          <w:divBdr>
            <w:top w:val="none" w:sz="0" w:space="0" w:color="auto"/>
            <w:left w:val="none" w:sz="0" w:space="0" w:color="auto"/>
            <w:bottom w:val="none" w:sz="0" w:space="0" w:color="auto"/>
            <w:right w:val="none" w:sz="0" w:space="0" w:color="auto"/>
          </w:divBdr>
        </w:div>
        <w:div w:id="454">
          <w:marLeft w:val="0"/>
          <w:marRight w:val="0"/>
          <w:marTop w:val="-20"/>
          <w:marBottom w:val="-20"/>
          <w:divBdr>
            <w:top w:val="none" w:sz="0" w:space="0" w:color="auto"/>
            <w:left w:val="none" w:sz="0" w:space="0" w:color="auto"/>
            <w:bottom w:val="none" w:sz="0" w:space="0" w:color="auto"/>
            <w:right w:val="none" w:sz="0" w:space="0" w:color="auto"/>
          </w:divBdr>
        </w:div>
        <w:div w:id="455">
          <w:marLeft w:val="0"/>
          <w:marRight w:val="0"/>
          <w:marTop w:val="-20"/>
          <w:marBottom w:val="-20"/>
          <w:divBdr>
            <w:top w:val="none" w:sz="0" w:space="0" w:color="auto"/>
            <w:left w:val="none" w:sz="0" w:space="0" w:color="auto"/>
            <w:bottom w:val="none" w:sz="0" w:space="0" w:color="auto"/>
            <w:right w:val="none" w:sz="0" w:space="0" w:color="auto"/>
          </w:divBdr>
        </w:div>
        <w:div w:id="456">
          <w:marLeft w:val="0"/>
          <w:marRight w:val="0"/>
          <w:marTop w:val="-20"/>
          <w:marBottom w:val="-20"/>
          <w:divBdr>
            <w:top w:val="none" w:sz="0" w:space="0" w:color="auto"/>
            <w:left w:val="none" w:sz="0" w:space="0" w:color="auto"/>
            <w:bottom w:val="none" w:sz="0" w:space="0" w:color="auto"/>
            <w:right w:val="none" w:sz="0" w:space="0" w:color="auto"/>
          </w:divBdr>
        </w:div>
        <w:div w:id="457">
          <w:marLeft w:val="0"/>
          <w:marRight w:val="0"/>
          <w:marTop w:val="-20"/>
          <w:marBottom w:val="-20"/>
          <w:divBdr>
            <w:top w:val="none" w:sz="0" w:space="0" w:color="auto"/>
            <w:left w:val="none" w:sz="0" w:space="0" w:color="auto"/>
            <w:bottom w:val="none" w:sz="0" w:space="0" w:color="auto"/>
            <w:right w:val="none" w:sz="0" w:space="0" w:color="auto"/>
          </w:divBdr>
        </w:div>
        <w:div w:id="458">
          <w:marLeft w:val="0"/>
          <w:marRight w:val="0"/>
          <w:marTop w:val="-20"/>
          <w:marBottom w:val="-20"/>
          <w:divBdr>
            <w:top w:val="none" w:sz="0" w:space="0" w:color="auto"/>
            <w:left w:val="none" w:sz="0" w:space="0" w:color="auto"/>
            <w:bottom w:val="none" w:sz="0" w:space="0" w:color="auto"/>
            <w:right w:val="none" w:sz="0" w:space="0" w:color="auto"/>
          </w:divBdr>
        </w:div>
        <w:div w:id="459">
          <w:marLeft w:val="0"/>
          <w:marRight w:val="0"/>
          <w:marTop w:val="-20"/>
          <w:marBottom w:val="-20"/>
          <w:divBdr>
            <w:top w:val="none" w:sz="0" w:space="0" w:color="auto"/>
            <w:left w:val="none" w:sz="0" w:space="0" w:color="auto"/>
            <w:bottom w:val="none" w:sz="0" w:space="0" w:color="auto"/>
            <w:right w:val="none" w:sz="0" w:space="0" w:color="auto"/>
          </w:divBdr>
        </w:div>
        <w:div w:id="460">
          <w:marLeft w:val="0"/>
          <w:marRight w:val="0"/>
          <w:marTop w:val="-20"/>
          <w:marBottom w:val="-20"/>
          <w:divBdr>
            <w:top w:val="none" w:sz="0" w:space="0" w:color="auto"/>
            <w:left w:val="none" w:sz="0" w:space="0" w:color="auto"/>
            <w:bottom w:val="none" w:sz="0" w:space="0" w:color="auto"/>
            <w:right w:val="none" w:sz="0" w:space="0" w:color="auto"/>
          </w:divBdr>
        </w:div>
        <w:div w:id="461">
          <w:marLeft w:val="0"/>
          <w:marRight w:val="0"/>
          <w:marTop w:val="-20"/>
          <w:marBottom w:val="-20"/>
          <w:divBdr>
            <w:top w:val="none" w:sz="0" w:space="0" w:color="auto"/>
            <w:left w:val="none" w:sz="0" w:space="0" w:color="auto"/>
            <w:bottom w:val="none" w:sz="0" w:space="0" w:color="auto"/>
            <w:right w:val="none" w:sz="0" w:space="0" w:color="auto"/>
          </w:divBdr>
        </w:div>
        <w:div w:id="462">
          <w:marLeft w:val="0"/>
          <w:marRight w:val="0"/>
          <w:marTop w:val="-20"/>
          <w:marBottom w:val="-20"/>
          <w:divBdr>
            <w:top w:val="none" w:sz="0" w:space="0" w:color="auto"/>
            <w:left w:val="none" w:sz="0" w:space="0" w:color="auto"/>
            <w:bottom w:val="none" w:sz="0" w:space="0" w:color="auto"/>
            <w:right w:val="none" w:sz="0" w:space="0" w:color="auto"/>
          </w:divBdr>
        </w:div>
        <w:div w:id="463">
          <w:marLeft w:val="0"/>
          <w:marRight w:val="0"/>
          <w:marTop w:val="-20"/>
          <w:marBottom w:val="-20"/>
          <w:divBdr>
            <w:top w:val="none" w:sz="0" w:space="0" w:color="auto"/>
            <w:left w:val="none" w:sz="0" w:space="0" w:color="auto"/>
            <w:bottom w:val="none" w:sz="0" w:space="0" w:color="auto"/>
            <w:right w:val="none" w:sz="0" w:space="0" w:color="auto"/>
          </w:divBdr>
        </w:div>
        <w:div w:id="464">
          <w:marLeft w:val="0"/>
          <w:marRight w:val="0"/>
          <w:marTop w:val="-20"/>
          <w:marBottom w:val="-20"/>
          <w:divBdr>
            <w:top w:val="none" w:sz="0" w:space="0" w:color="auto"/>
            <w:left w:val="none" w:sz="0" w:space="0" w:color="auto"/>
            <w:bottom w:val="none" w:sz="0" w:space="0" w:color="auto"/>
            <w:right w:val="none" w:sz="0" w:space="0" w:color="auto"/>
          </w:divBdr>
        </w:div>
        <w:div w:id="465">
          <w:marLeft w:val="0"/>
          <w:marRight w:val="0"/>
          <w:marTop w:val="-20"/>
          <w:marBottom w:val="-20"/>
          <w:divBdr>
            <w:top w:val="none" w:sz="0" w:space="0" w:color="auto"/>
            <w:left w:val="none" w:sz="0" w:space="0" w:color="auto"/>
            <w:bottom w:val="none" w:sz="0" w:space="0" w:color="auto"/>
            <w:right w:val="none" w:sz="0" w:space="0" w:color="auto"/>
          </w:divBdr>
        </w:div>
        <w:div w:id="466">
          <w:marLeft w:val="0"/>
          <w:marRight w:val="0"/>
          <w:marTop w:val="-20"/>
          <w:marBottom w:val="-20"/>
          <w:divBdr>
            <w:top w:val="none" w:sz="0" w:space="0" w:color="auto"/>
            <w:left w:val="none" w:sz="0" w:space="0" w:color="auto"/>
            <w:bottom w:val="none" w:sz="0" w:space="0" w:color="auto"/>
            <w:right w:val="none" w:sz="0" w:space="0" w:color="auto"/>
          </w:divBdr>
        </w:div>
        <w:div w:id="467">
          <w:marLeft w:val="0"/>
          <w:marRight w:val="0"/>
          <w:marTop w:val="-20"/>
          <w:marBottom w:val="-20"/>
          <w:divBdr>
            <w:top w:val="none" w:sz="0" w:space="0" w:color="auto"/>
            <w:left w:val="none" w:sz="0" w:space="0" w:color="auto"/>
            <w:bottom w:val="none" w:sz="0" w:space="0" w:color="auto"/>
            <w:right w:val="none" w:sz="0" w:space="0" w:color="auto"/>
          </w:divBdr>
        </w:div>
        <w:div w:id="468">
          <w:marLeft w:val="0"/>
          <w:marRight w:val="0"/>
          <w:marTop w:val="-20"/>
          <w:marBottom w:val="-20"/>
          <w:divBdr>
            <w:top w:val="none" w:sz="0" w:space="0" w:color="auto"/>
            <w:left w:val="none" w:sz="0" w:space="0" w:color="auto"/>
            <w:bottom w:val="none" w:sz="0" w:space="0" w:color="auto"/>
            <w:right w:val="none" w:sz="0" w:space="0" w:color="auto"/>
          </w:divBdr>
        </w:div>
        <w:div w:id="469">
          <w:marLeft w:val="0"/>
          <w:marRight w:val="0"/>
          <w:marTop w:val="-20"/>
          <w:marBottom w:val="-20"/>
          <w:divBdr>
            <w:top w:val="none" w:sz="0" w:space="0" w:color="auto"/>
            <w:left w:val="none" w:sz="0" w:space="0" w:color="auto"/>
            <w:bottom w:val="none" w:sz="0" w:space="0" w:color="auto"/>
            <w:right w:val="none" w:sz="0" w:space="0" w:color="auto"/>
          </w:divBdr>
        </w:div>
        <w:div w:id="470">
          <w:marLeft w:val="0"/>
          <w:marRight w:val="0"/>
          <w:marTop w:val="-20"/>
          <w:marBottom w:val="-20"/>
          <w:divBdr>
            <w:top w:val="none" w:sz="0" w:space="0" w:color="auto"/>
            <w:left w:val="none" w:sz="0" w:space="0" w:color="auto"/>
            <w:bottom w:val="none" w:sz="0" w:space="0" w:color="auto"/>
            <w:right w:val="none" w:sz="0" w:space="0" w:color="auto"/>
          </w:divBdr>
        </w:div>
        <w:div w:id="471">
          <w:marLeft w:val="0"/>
          <w:marRight w:val="0"/>
          <w:marTop w:val="-20"/>
          <w:marBottom w:val="-20"/>
          <w:divBdr>
            <w:top w:val="none" w:sz="0" w:space="0" w:color="auto"/>
            <w:left w:val="none" w:sz="0" w:space="0" w:color="auto"/>
            <w:bottom w:val="none" w:sz="0" w:space="0" w:color="auto"/>
            <w:right w:val="none" w:sz="0" w:space="0" w:color="auto"/>
          </w:divBdr>
        </w:div>
        <w:div w:id="472">
          <w:marLeft w:val="0"/>
          <w:marRight w:val="0"/>
          <w:marTop w:val="-20"/>
          <w:marBottom w:val="-20"/>
          <w:divBdr>
            <w:top w:val="none" w:sz="0" w:space="0" w:color="auto"/>
            <w:left w:val="none" w:sz="0" w:space="0" w:color="auto"/>
            <w:bottom w:val="none" w:sz="0" w:space="0" w:color="auto"/>
            <w:right w:val="none" w:sz="0" w:space="0" w:color="auto"/>
          </w:divBdr>
        </w:div>
        <w:div w:id="473">
          <w:marLeft w:val="0"/>
          <w:marRight w:val="0"/>
          <w:marTop w:val="-20"/>
          <w:marBottom w:val="-20"/>
          <w:divBdr>
            <w:top w:val="none" w:sz="0" w:space="0" w:color="auto"/>
            <w:left w:val="none" w:sz="0" w:space="0" w:color="auto"/>
            <w:bottom w:val="none" w:sz="0" w:space="0" w:color="auto"/>
            <w:right w:val="none" w:sz="0" w:space="0" w:color="auto"/>
          </w:divBdr>
        </w:div>
        <w:div w:id="474">
          <w:marLeft w:val="0"/>
          <w:marRight w:val="0"/>
          <w:marTop w:val="-20"/>
          <w:marBottom w:val="-20"/>
          <w:divBdr>
            <w:top w:val="none" w:sz="0" w:space="0" w:color="auto"/>
            <w:left w:val="none" w:sz="0" w:space="0" w:color="auto"/>
            <w:bottom w:val="none" w:sz="0" w:space="0" w:color="auto"/>
            <w:right w:val="none" w:sz="0" w:space="0" w:color="auto"/>
          </w:divBdr>
        </w:div>
        <w:div w:id="475">
          <w:marLeft w:val="0"/>
          <w:marRight w:val="0"/>
          <w:marTop w:val="-20"/>
          <w:marBottom w:val="-20"/>
          <w:divBdr>
            <w:top w:val="none" w:sz="0" w:space="0" w:color="auto"/>
            <w:left w:val="none" w:sz="0" w:space="0" w:color="auto"/>
            <w:bottom w:val="none" w:sz="0" w:space="0" w:color="auto"/>
            <w:right w:val="none" w:sz="0" w:space="0" w:color="auto"/>
          </w:divBdr>
        </w:div>
        <w:div w:id="476">
          <w:marLeft w:val="0"/>
          <w:marRight w:val="0"/>
          <w:marTop w:val="-20"/>
          <w:marBottom w:val="-20"/>
          <w:divBdr>
            <w:top w:val="none" w:sz="0" w:space="0" w:color="auto"/>
            <w:left w:val="none" w:sz="0" w:space="0" w:color="auto"/>
            <w:bottom w:val="none" w:sz="0" w:space="0" w:color="auto"/>
            <w:right w:val="none" w:sz="0" w:space="0" w:color="auto"/>
          </w:divBdr>
        </w:div>
        <w:div w:id="477">
          <w:marLeft w:val="0"/>
          <w:marRight w:val="0"/>
          <w:marTop w:val="-20"/>
          <w:marBottom w:val="-20"/>
          <w:divBdr>
            <w:top w:val="none" w:sz="0" w:space="0" w:color="auto"/>
            <w:left w:val="none" w:sz="0" w:space="0" w:color="auto"/>
            <w:bottom w:val="none" w:sz="0" w:space="0" w:color="auto"/>
            <w:right w:val="none" w:sz="0" w:space="0" w:color="auto"/>
          </w:divBdr>
        </w:div>
        <w:div w:id="478">
          <w:marLeft w:val="0"/>
          <w:marRight w:val="0"/>
          <w:marTop w:val="-20"/>
          <w:marBottom w:val="-20"/>
          <w:divBdr>
            <w:top w:val="none" w:sz="0" w:space="0" w:color="auto"/>
            <w:left w:val="none" w:sz="0" w:space="0" w:color="auto"/>
            <w:bottom w:val="none" w:sz="0" w:space="0" w:color="auto"/>
            <w:right w:val="none" w:sz="0" w:space="0" w:color="auto"/>
          </w:divBdr>
        </w:div>
        <w:div w:id="479">
          <w:marLeft w:val="0"/>
          <w:marRight w:val="0"/>
          <w:marTop w:val="-20"/>
          <w:marBottom w:val="-20"/>
          <w:divBdr>
            <w:top w:val="none" w:sz="0" w:space="0" w:color="auto"/>
            <w:left w:val="none" w:sz="0" w:space="0" w:color="auto"/>
            <w:bottom w:val="none" w:sz="0" w:space="0" w:color="auto"/>
            <w:right w:val="none" w:sz="0" w:space="0" w:color="auto"/>
          </w:divBdr>
        </w:div>
        <w:div w:id="480">
          <w:marLeft w:val="0"/>
          <w:marRight w:val="0"/>
          <w:marTop w:val="-20"/>
          <w:marBottom w:val="-20"/>
          <w:divBdr>
            <w:top w:val="none" w:sz="0" w:space="0" w:color="auto"/>
            <w:left w:val="none" w:sz="0" w:space="0" w:color="auto"/>
            <w:bottom w:val="none" w:sz="0" w:space="0" w:color="auto"/>
            <w:right w:val="none" w:sz="0" w:space="0" w:color="auto"/>
          </w:divBdr>
        </w:div>
        <w:div w:id="481">
          <w:marLeft w:val="0"/>
          <w:marRight w:val="0"/>
          <w:marTop w:val="-20"/>
          <w:marBottom w:val="-20"/>
          <w:divBdr>
            <w:top w:val="none" w:sz="0" w:space="0" w:color="auto"/>
            <w:left w:val="none" w:sz="0" w:space="0" w:color="auto"/>
            <w:bottom w:val="none" w:sz="0" w:space="0" w:color="auto"/>
            <w:right w:val="none" w:sz="0" w:space="0" w:color="auto"/>
          </w:divBdr>
        </w:div>
        <w:div w:id="482">
          <w:marLeft w:val="0"/>
          <w:marRight w:val="0"/>
          <w:marTop w:val="-20"/>
          <w:marBottom w:val="-20"/>
          <w:divBdr>
            <w:top w:val="none" w:sz="0" w:space="0" w:color="auto"/>
            <w:left w:val="none" w:sz="0" w:space="0" w:color="auto"/>
            <w:bottom w:val="none" w:sz="0" w:space="0" w:color="auto"/>
            <w:right w:val="none" w:sz="0" w:space="0" w:color="auto"/>
          </w:divBdr>
        </w:div>
        <w:div w:id="483">
          <w:marLeft w:val="0"/>
          <w:marRight w:val="0"/>
          <w:marTop w:val="-20"/>
          <w:marBottom w:val="-20"/>
          <w:divBdr>
            <w:top w:val="none" w:sz="0" w:space="0" w:color="auto"/>
            <w:left w:val="none" w:sz="0" w:space="0" w:color="auto"/>
            <w:bottom w:val="none" w:sz="0" w:space="0" w:color="auto"/>
            <w:right w:val="none" w:sz="0" w:space="0" w:color="auto"/>
          </w:divBdr>
        </w:div>
        <w:div w:id="484">
          <w:marLeft w:val="0"/>
          <w:marRight w:val="0"/>
          <w:marTop w:val="-20"/>
          <w:marBottom w:val="-20"/>
          <w:divBdr>
            <w:top w:val="none" w:sz="0" w:space="0" w:color="auto"/>
            <w:left w:val="none" w:sz="0" w:space="0" w:color="auto"/>
            <w:bottom w:val="none" w:sz="0" w:space="0" w:color="auto"/>
            <w:right w:val="none" w:sz="0" w:space="0" w:color="auto"/>
          </w:divBdr>
        </w:div>
        <w:div w:id="485">
          <w:marLeft w:val="0"/>
          <w:marRight w:val="0"/>
          <w:marTop w:val="-20"/>
          <w:marBottom w:val="-20"/>
          <w:divBdr>
            <w:top w:val="none" w:sz="0" w:space="0" w:color="auto"/>
            <w:left w:val="none" w:sz="0" w:space="0" w:color="auto"/>
            <w:bottom w:val="none" w:sz="0" w:space="0" w:color="auto"/>
            <w:right w:val="none" w:sz="0" w:space="0" w:color="auto"/>
          </w:divBdr>
        </w:div>
        <w:div w:id="486">
          <w:marLeft w:val="0"/>
          <w:marRight w:val="0"/>
          <w:marTop w:val="-20"/>
          <w:marBottom w:val="-20"/>
          <w:divBdr>
            <w:top w:val="none" w:sz="0" w:space="0" w:color="auto"/>
            <w:left w:val="none" w:sz="0" w:space="0" w:color="auto"/>
            <w:bottom w:val="none" w:sz="0" w:space="0" w:color="auto"/>
            <w:right w:val="none" w:sz="0" w:space="0" w:color="auto"/>
          </w:divBdr>
        </w:div>
        <w:div w:id="487">
          <w:marLeft w:val="0"/>
          <w:marRight w:val="0"/>
          <w:marTop w:val="-20"/>
          <w:marBottom w:val="-20"/>
          <w:divBdr>
            <w:top w:val="none" w:sz="0" w:space="0" w:color="auto"/>
            <w:left w:val="none" w:sz="0" w:space="0" w:color="auto"/>
            <w:bottom w:val="none" w:sz="0" w:space="0" w:color="auto"/>
            <w:right w:val="none" w:sz="0" w:space="0" w:color="auto"/>
          </w:divBdr>
        </w:div>
        <w:div w:id="488">
          <w:marLeft w:val="0"/>
          <w:marRight w:val="0"/>
          <w:marTop w:val="-20"/>
          <w:marBottom w:val="-20"/>
          <w:divBdr>
            <w:top w:val="none" w:sz="0" w:space="0" w:color="auto"/>
            <w:left w:val="none" w:sz="0" w:space="0" w:color="auto"/>
            <w:bottom w:val="none" w:sz="0" w:space="0" w:color="auto"/>
            <w:right w:val="none" w:sz="0" w:space="0" w:color="auto"/>
          </w:divBdr>
        </w:div>
        <w:div w:id="489">
          <w:marLeft w:val="0"/>
          <w:marRight w:val="0"/>
          <w:marTop w:val="-20"/>
          <w:marBottom w:val="-20"/>
          <w:divBdr>
            <w:top w:val="none" w:sz="0" w:space="0" w:color="auto"/>
            <w:left w:val="none" w:sz="0" w:space="0" w:color="auto"/>
            <w:bottom w:val="none" w:sz="0" w:space="0" w:color="auto"/>
            <w:right w:val="none" w:sz="0" w:space="0" w:color="auto"/>
          </w:divBdr>
        </w:div>
        <w:div w:id="490">
          <w:marLeft w:val="0"/>
          <w:marRight w:val="0"/>
          <w:marTop w:val="-20"/>
          <w:marBottom w:val="-20"/>
          <w:divBdr>
            <w:top w:val="none" w:sz="0" w:space="0" w:color="auto"/>
            <w:left w:val="none" w:sz="0" w:space="0" w:color="auto"/>
            <w:bottom w:val="none" w:sz="0" w:space="0" w:color="auto"/>
            <w:right w:val="none" w:sz="0" w:space="0" w:color="auto"/>
          </w:divBdr>
        </w:div>
        <w:div w:id="491">
          <w:marLeft w:val="0"/>
          <w:marRight w:val="0"/>
          <w:marTop w:val="-20"/>
          <w:marBottom w:val="-20"/>
          <w:divBdr>
            <w:top w:val="none" w:sz="0" w:space="0" w:color="auto"/>
            <w:left w:val="none" w:sz="0" w:space="0" w:color="auto"/>
            <w:bottom w:val="none" w:sz="0" w:space="0" w:color="auto"/>
            <w:right w:val="none" w:sz="0" w:space="0" w:color="auto"/>
          </w:divBdr>
        </w:div>
        <w:div w:id="492">
          <w:marLeft w:val="0"/>
          <w:marRight w:val="0"/>
          <w:marTop w:val="-20"/>
          <w:marBottom w:val="-20"/>
          <w:divBdr>
            <w:top w:val="none" w:sz="0" w:space="0" w:color="auto"/>
            <w:left w:val="none" w:sz="0" w:space="0" w:color="auto"/>
            <w:bottom w:val="none" w:sz="0" w:space="0" w:color="auto"/>
            <w:right w:val="none" w:sz="0" w:space="0" w:color="auto"/>
          </w:divBdr>
        </w:div>
        <w:div w:id="493">
          <w:marLeft w:val="0"/>
          <w:marRight w:val="0"/>
          <w:marTop w:val="-20"/>
          <w:marBottom w:val="-20"/>
          <w:divBdr>
            <w:top w:val="none" w:sz="0" w:space="0" w:color="auto"/>
            <w:left w:val="none" w:sz="0" w:space="0" w:color="auto"/>
            <w:bottom w:val="none" w:sz="0" w:space="0" w:color="auto"/>
            <w:right w:val="none" w:sz="0" w:space="0" w:color="auto"/>
          </w:divBdr>
        </w:div>
        <w:div w:id="494">
          <w:marLeft w:val="0"/>
          <w:marRight w:val="0"/>
          <w:marTop w:val="-20"/>
          <w:marBottom w:val="-20"/>
          <w:divBdr>
            <w:top w:val="none" w:sz="0" w:space="0" w:color="auto"/>
            <w:left w:val="none" w:sz="0" w:space="0" w:color="auto"/>
            <w:bottom w:val="none" w:sz="0" w:space="0" w:color="auto"/>
            <w:right w:val="none" w:sz="0" w:space="0" w:color="auto"/>
          </w:divBdr>
        </w:div>
        <w:div w:id="495">
          <w:marLeft w:val="0"/>
          <w:marRight w:val="0"/>
          <w:marTop w:val="-20"/>
          <w:marBottom w:val="-20"/>
          <w:divBdr>
            <w:top w:val="none" w:sz="0" w:space="0" w:color="auto"/>
            <w:left w:val="none" w:sz="0" w:space="0" w:color="auto"/>
            <w:bottom w:val="none" w:sz="0" w:space="0" w:color="auto"/>
            <w:right w:val="none" w:sz="0" w:space="0" w:color="auto"/>
          </w:divBdr>
        </w:div>
        <w:div w:id="496">
          <w:marLeft w:val="0"/>
          <w:marRight w:val="0"/>
          <w:marTop w:val="-20"/>
          <w:marBottom w:val="-20"/>
          <w:divBdr>
            <w:top w:val="none" w:sz="0" w:space="0" w:color="auto"/>
            <w:left w:val="none" w:sz="0" w:space="0" w:color="auto"/>
            <w:bottom w:val="none" w:sz="0" w:space="0" w:color="auto"/>
            <w:right w:val="none" w:sz="0" w:space="0" w:color="auto"/>
          </w:divBdr>
        </w:div>
        <w:div w:id="497">
          <w:marLeft w:val="0"/>
          <w:marRight w:val="0"/>
          <w:marTop w:val="-20"/>
          <w:marBottom w:val="-20"/>
          <w:divBdr>
            <w:top w:val="none" w:sz="0" w:space="0" w:color="auto"/>
            <w:left w:val="none" w:sz="0" w:space="0" w:color="auto"/>
            <w:bottom w:val="none" w:sz="0" w:space="0" w:color="auto"/>
            <w:right w:val="none" w:sz="0" w:space="0" w:color="auto"/>
          </w:divBdr>
        </w:div>
        <w:div w:id="498">
          <w:marLeft w:val="0"/>
          <w:marRight w:val="0"/>
          <w:marTop w:val="-20"/>
          <w:marBottom w:val="-20"/>
          <w:divBdr>
            <w:top w:val="none" w:sz="0" w:space="0" w:color="auto"/>
            <w:left w:val="none" w:sz="0" w:space="0" w:color="auto"/>
            <w:bottom w:val="none" w:sz="0" w:space="0" w:color="auto"/>
            <w:right w:val="none" w:sz="0" w:space="0" w:color="auto"/>
          </w:divBdr>
        </w:div>
        <w:div w:id="499">
          <w:marLeft w:val="0"/>
          <w:marRight w:val="0"/>
          <w:marTop w:val="-20"/>
          <w:marBottom w:val="-20"/>
          <w:divBdr>
            <w:top w:val="none" w:sz="0" w:space="0" w:color="auto"/>
            <w:left w:val="none" w:sz="0" w:space="0" w:color="auto"/>
            <w:bottom w:val="none" w:sz="0" w:space="0" w:color="auto"/>
            <w:right w:val="none" w:sz="0" w:space="0" w:color="auto"/>
          </w:divBdr>
        </w:div>
        <w:div w:id="500">
          <w:marLeft w:val="0"/>
          <w:marRight w:val="0"/>
          <w:marTop w:val="-20"/>
          <w:marBottom w:val="-20"/>
          <w:divBdr>
            <w:top w:val="none" w:sz="0" w:space="0" w:color="auto"/>
            <w:left w:val="none" w:sz="0" w:space="0" w:color="auto"/>
            <w:bottom w:val="none" w:sz="0" w:space="0" w:color="auto"/>
            <w:right w:val="none" w:sz="0" w:space="0" w:color="auto"/>
          </w:divBdr>
        </w:div>
        <w:div w:id="501">
          <w:marLeft w:val="0"/>
          <w:marRight w:val="0"/>
          <w:marTop w:val="-20"/>
          <w:marBottom w:val="-20"/>
          <w:divBdr>
            <w:top w:val="none" w:sz="0" w:space="0" w:color="auto"/>
            <w:left w:val="none" w:sz="0" w:space="0" w:color="auto"/>
            <w:bottom w:val="none" w:sz="0" w:space="0" w:color="auto"/>
            <w:right w:val="none" w:sz="0" w:space="0" w:color="auto"/>
          </w:divBdr>
        </w:div>
        <w:div w:id="502">
          <w:marLeft w:val="0"/>
          <w:marRight w:val="0"/>
          <w:marTop w:val="-20"/>
          <w:marBottom w:val="-20"/>
          <w:divBdr>
            <w:top w:val="none" w:sz="0" w:space="0" w:color="auto"/>
            <w:left w:val="none" w:sz="0" w:space="0" w:color="auto"/>
            <w:bottom w:val="none" w:sz="0" w:space="0" w:color="auto"/>
            <w:right w:val="none" w:sz="0" w:space="0" w:color="auto"/>
          </w:divBdr>
        </w:div>
        <w:div w:id="503">
          <w:marLeft w:val="0"/>
          <w:marRight w:val="0"/>
          <w:marTop w:val="-20"/>
          <w:marBottom w:val="-20"/>
          <w:divBdr>
            <w:top w:val="none" w:sz="0" w:space="0" w:color="auto"/>
            <w:left w:val="none" w:sz="0" w:space="0" w:color="auto"/>
            <w:bottom w:val="none" w:sz="0" w:space="0" w:color="auto"/>
            <w:right w:val="none" w:sz="0" w:space="0" w:color="auto"/>
          </w:divBdr>
        </w:div>
        <w:div w:id="504">
          <w:marLeft w:val="0"/>
          <w:marRight w:val="0"/>
          <w:marTop w:val="-20"/>
          <w:marBottom w:val="-20"/>
          <w:divBdr>
            <w:top w:val="none" w:sz="0" w:space="0" w:color="auto"/>
            <w:left w:val="none" w:sz="0" w:space="0" w:color="auto"/>
            <w:bottom w:val="none" w:sz="0" w:space="0" w:color="auto"/>
            <w:right w:val="none" w:sz="0" w:space="0" w:color="auto"/>
          </w:divBdr>
        </w:div>
        <w:div w:id="505">
          <w:marLeft w:val="0"/>
          <w:marRight w:val="0"/>
          <w:marTop w:val="-20"/>
          <w:marBottom w:val="-20"/>
          <w:divBdr>
            <w:top w:val="none" w:sz="0" w:space="0" w:color="auto"/>
            <w:left w:val="none" w:sz="0" w:space="0" w:color="auto"/>
            <w:bottom w:val="none" w:sz="0" w:space="0" w:color="auto"/>
            <w:right w:val="none" w:sz="0" w:space="0" w:color="auto"/>
          </w:divBdr>
        </w:div>
        <w:div w:id="506">
          <w:marLeft w:val="0"/>
          <w:marRight w:val="0"/>
          <w:marTop w:val="-20"/>
          <w:marBottom w:val="-20"/>
          <w:divBdr>
            <w:top w:val="none" w:sz="0" w:space="0" w:color="auto"/>
            <w:left w:val="none" w:sz="0" w:space="0" w:color="auto"/>
            <w:bottom w:val="none" w:sz="0" w:space="0" w:color="auto"/>
            <w:right w:val="none" w:sz="0" w:space="0" w:color="auto"/>
          </w:divBdr>
        </w:div>
        <w:div w:id="507">
          <w:marLeft w:val="0"/>
          <w:marRight w:val="0"/>
          <w:marTop w:val="-20"/>
          <w:marBottom w:val="-20"/>
          <w:divBdr>
            <w:top w:val="none" w:sz="0" w:space="0" w:color="auto"/>
            <w:left w:val="none" w:sz="0" w:space="0" w:color="auto"/>
            <w:bottom w:val="none" w:sz="0" w:space="0" w:color="auto"/>
            <w:right w:val="none" w:sz="0" w:space="0" w:color="auto"/>
          </w:divBdr>
        </w:div>
        <w:div w:id="508">
          <w:marLeft w:val="0"/>
          <w:marRight w:val="0"/>
          <w:marTop w:val="-20"/>
          <w:marBottom w:val="-20"/>
          <w:divBdr>
            <w:top w:val="none" w:sz="0" w:space="0" w:color="auto"/>
            <w:left w:val="none" w:sz="0" w:space="0" w:color="auto"/>
            <w:bottom w:val="none" w:sz="0" w:space="0" w:color="auto"/>
            <w:right w:val="none" w:sz="0" w:space="0" w:color="auto"/>
          </w:divBdr>
        </w:div>
        <w:div w:id="509">
          <w:marLeft w:val="0"/>
          <w:marRight w:val="0"/>
          <w:marTop w:val="-20"/>
          <w:marBottom w:val="-20"/>
          <w:divBdr>
            <w:top w:val="none" w:sz="0" w:space="0" w:color="auto"/>
            <w:left w:val="none" w:sz="0" w:space="0" w:color="auto"/>
            <w:bottom w:val="none" w:sz="0" w:space="0" w:color="auto"/>
            <w:right w:val="none" w:sz="0" w:space="0" w:color="auto"/>
          </w:divBdr>
        </w:div>
        <w:div w:id="510">
          <w:marLeft w:val="0"/>
          <w:marRight w:val="0"/>
          <w:marTop w:val="-20"/>
          <w:marBottom w:val="-20"/>
          <w:divBdr>
            <w:top w:val="none" w:sz="0" w:space="0" w:color="auto"/>
            <w:left w:val="none" w:sz="0" w:space="0" w:color="auto"/>
            <w:bottom w:val="none" w:sz="0" w:space="0" w:color="auto"/>
            <w:right w:val="none" w:sz="0" w:space="0" w:color="auto"/>
          </w:divBdr>
        </w:div>
        <w:div w:id="511">
          <w:marLeft w:val="0"/>
          <w:marRight w:val="0"/>
          <w:marTop w:val="-20"/>
          <w:marBottom w:val="-20"/>
          <w:divBdr>
            <w:top w:val="none" w:sz="0" w:space="0" w:color="auto"/>
            <w:left w:val="none" w:sz="0" w:space="0" w:color="auto"/>
            <w:bottom w:val="none" w:sz="0" w:space="0" w:color="auto"/>
            <w:right w:val="none" w:sz="0" w:space="0" w:color="auto"/>
          </w:divBdr>
        </w:div>
        <w:div w:id="512">
          <w:marLeft w:val="0"/>
          <w:marRight w:val="0"/>
          <w:marTop w:val="-20"/>
          <w:marBottom w:val="-20"/>
          <w:divBdr>
            <w:top w:val="none" w:sz="0" w:space="0" w:color="auto"/>
            <w:left w:val="none" w:sz="0" w:space="0" w:color="auto"/>
            <w:bottom w:val="none" w:sz="0" w:space="0" w:color="auto"/>
            <w:right w:val="none" w:sz="0" w:space="0" w:color="auto"/>
          </w:divBdr>
        </w:div>
        <w:div w:id="513">
          <w:marLeft w:val="0"/>
          <w:marRight w:val="0"/>
          <w:marTop w:val="-20"/>
          <w:marBottom w:val="-20"/>
          <w:divBdr>
            <w:top w:val="none" w:sz="0" w:space="0" w:color="auto"/>
            <w:left w:val="none" w:sz="0" w:space="0" w:color="auto"/>
            <w:bottom w:val="none" w:sz="0" w:space="0" w:color="auto"/>
            <w:right w:val="none" w:sz="0" w:space="0" w:color="auto"/>
          </w:divBdr>
        </w:div>
        <w:div w:id="514">
          <w:marLeft w:val="0"/>
          <w:marRight w:val="0"/>
          <w:marTop w:val="-20"/>
          <w:marBottom w:val="-20"/>
          <w:divBdr>
            <w:top w:val="none" w:sz="0" w:space="0" w:color="auto"/>
            <w:left w:val="none" w:sz="0" w:space="0" w:color="auto"/>
            <w:bottom w:val="none" w:sz="0" w:space="0" w:color="auto"/>
            <w:right w:val="none" w:sz="0" w:space="0" w:color="auto"/>
          </w:divBdr>
        </w:div>
        <w:div w:id="515">
          <w:marLeft w:val="0"/>
          <w:marRight w:val="0"/>
          <w:marTop w:val="-20"/>
          <w:marBottom w:val="-20"/>
          <w:divBdr>
            <w:top w:val="none" w:sz="0" w:space="0" w:color="auto"/>
            <w:left w:val="none" w:sz="0" w:space="0" w:color="auto"/>
            <w:bottom w:val="none" w:sz="0" w:space="0" w:color="auto"/>
            <w:right w:val="none" w:sz="0" w:space="0" w:color="auto"/>
          </w:divBdr>
        </w:div>
        <w:div w:id="516">
          <w:marLeft w:val="0"/>
          <w:marRight w:val="0"/>
          <w:marTop w:val="-20"/>
          <w:marBottom w:val="-20"/>
          <w:divBdr>
            <w:top w:val="none" w:sz="0" w:space="0" w:color="auto"/>
            <w:left w:val="none" w:sz="0" w:space="0" w:color="auto"/>
            <w:bottom w:val="none" w:sz="0" w:space="0" w:color="auto"/>
            <w:right w:val="none" w:sz="0" w:space="0" w:color="auto"/>
          </w:divBdr>
        </w:div>
        <w:div w:id="517">
          <w:marLeft w:val="0"/>
          <w:marRight w:val="0"/>
          <w:marTop w:val="-20"/>
          <w:marBottom w:val="-20"/>
          <w:divBdr>
            <w:top w:val="none" w:sz="0" w:space="0" w:color="auto"/>
            <w:left w:val="none" w:sz="0" w:space="0" w:color="auto"/>
            <w:bottom w:val="none" w:sz="0" w:space="0" w:color="auto"/>
            <w:right w:val="none" w:sz="0" w:space="0" w:color="auto"/>
          </w:divBdr>
        </w:div>
        <w:div w:id="518">
          <w:marLeft w:val="0"/>
          <w:marRight w:val="0"/>
          <w:marTop w:val="-20"/>
          <w:marBottom w:val="-20"/>
          <w:divBdr>
            <w:top w:val="none" w:sz="0" w:space="0" w:color="auto"/>
            <w:left w:val="none" w:sz="0" w:space="0" w:color="auto"/>
            <w:bottom w:val="none" w:sz="0" w:space="0" w:color="auto"/>
            <w:right w:val="none" w:sz="0" w:space="0" w:color="auto"/>
          </w:divBdr>
        </w:div>
        <w:div w:id="519">
          <w:marLeft w:val="0"/>
          <w:marRight w:val="0"/>
          <w:marTop w:val="-20"/>
          <w:marBottom w:val="-20"/>
          <w:divBdr>
            <w:top w:val="none" w:sz="0" w:space="0" w:color="auto"/>
            <w:left w:val="none" w:sz="0" w:space="0" w:color="auto"/>
            <w:bottom w:val="none" w:sz="0" w:space="0" w:color="auto"/>
            <w:right w:val="none" w:sz="0" w:space="0" w:color="auto"/>
          </w:divBdr>
        </w:div>
        <w:div w:id="520">
          <w:marLeft w:val="0"/>
          <w:marRight w:val="0"/>
          <w:marTop w:val="-20"/>
          <w:marBottom w:val="-20"/>
          <w:divBdr>
            <w:top w:val="none" w:sz="0" w:space="0" w:color="auto"/>
            <w:left w:val="none" w:sz="0" w:space="0" w:color="auto"/>
            <w:bottom w:val="none" w:sz="0" w:space="0" w:color="auto"/>
            <w:right w:val="none" w:sz="0" w:space="0" w:color="auto"/>
          </w:divBdr>
        </w:div>
        <w:div w:id="521">
          <w:marLeft w:val="0"/>
          <w:marRight w:val="0"/>
          <w:marTop w:val="-20"/>
          <w:marBottom w:val="-20"/>
          <w:divBdr>
            <w:top w:val="none" w:sz="0" w:space="0" w:color="auto"/>
            <w:left w:val="none" w:sz="0" w:space="0" w:color="auto"/>
            <w:bottom w:val="none" w:sz="0" w:space="0" w:color="auto"/>
            <w:right w:val="none" w:sz="0" w:space="0" w:color="auto"/>
          </w:divBdr>
        </w:div>
        <w:div w:id="522">
          <w:marLeft w:val="0"/>
          <w:marRight w:val="0"/>
          <w:marTop w:val="-20"/>
          <w:marBottom w:val="-20"/>
          <w:divBdr>
            <w:top w:val="none" w:sz="0" w:space="0" w:color="auto"/>
            <w:left w:val="none" w:sz="0" w:space="0" w:color="auto"/>
            <w:bottom w:val="none" w:sz="0" w:space="0" w:color="auto"/>
            <w:right w:val="none" w:sz="0" w:space="0" w:color="auto"/>
          </w:divBdr>
        </w:div>
        <w:div w:id="523">
          <w:marLeft w:val="0"/>
          <w:marRight w:val="0"/>
          <w:marTop w:val="-20"/>
          <w:marBottom w:val="-20"/>
          <w:divBdr>
            <w:top w:val="none" w:sz="0" w:space="0" w:color="auto"/>
            <w:left w:val="none" w:sz="0" w:space="0" w:color="auto"/>
            <w:bottom w:val="none" w:sz="0" w:space="0" w:color="auto"/>
            <w:right w:val="none" w:sz="0" w:space="0" w:color="auto"/>
          </w:divBdr>
        </w:div>
        <w:div w:id="524">
          <w:marLeft w:val="0"/>
          <w:marRight w:val="0"/>
          <w:marTop w:val="-20"/>
          <w:marBottom w:val="-20"/>
          <w:divBdr>
            <w:top w:val="none" w:sz="0" w:space="0" w:color="auto"/>
            <w:left w:val="none" w:sz="0" w:space="0" w:color="auto"/>
            <w:bottom w:val="none" w:sz="0" w:space="0" w:color="auto"/>
            <w:right w:val="none" w:sz="0" w:space="0" w:color="auto"/>
          </w:divBdr>
        </w:div>
        <w:div w:id="525">
          <w:marLeft w:val="0"/>
          <w:marRight w:val="0"/>
          <w:marTop w:val="-20"/>
          <w:marBottom w:val="-20"/>
          <w:divBdr>
            <w:top w:val="none" w:sz="0" w:space="0" w:color="auto"/>
            <w:left w:val="none" w:sz="0" w:space="0" w:color="auto"/>
            <w:bottom w:val="none" w:sz="0" w:space="0" w:color="auto"/>
            <w:right w:val="none" w:sz="0" w:space="0" w:color="auto"/>
          </w:divBdr>
        </w:div>
        <w:div w:id="526">
          <w:marLeft w:val="0"/>
          <w:marRight w:val="0"/>
          <w:marTop w:val="-20"/>
          <w:marBottom w:val="-20"/>
          <w:divBdr>
            <w:top w:val="none" w:sz="0" w:space="0" w:color="auto"/>
            <w:left w:val="none" w:sz="0" w:space="0" w:color="auto"/>
            <w:bottom w:val="none" w:sz="0" w:space="0" w:color="auto"/>
            <w:right w:val="none" w:sz="0" w:space="0" w:color="auto"/>
          </w:divBdr>
        </w:div>
        <w:div w:id="527">
          <w:marLeft w:val="0"/>
          <w:marRight w:val="0"/>
          <w:marTop w:val="-20"/>
          <w:marBottom w:val="-20"/>
          <w:divBdr>
            <w:top w:val="none" w:sz="0" w:space="0" w:color="auto"/>
            <w:left w:val="none" w:sz="0" w:space="0" w:color="auto"/>
            <w:bottom w:val="none" w:sz="0" w:space="0" w:color="auto"/>
            <w:right w:val="none" w:sz="0" w:space="0" w:color="auto"/>
          </w:divBdr>
        </w:div>
        <w:div w:id="528">
          <w:marLeft w:val="0"/>
          <w:marRight w:val="0"/>
          <w:marTop w:val="-20"/>
          <w:marBottom w:val="-20"/>
          <w:divBdr>
            <w:top w:val="none" w:sz="0" w:space="0" w:color="auto"/>
            <w:left w:val="none" w:sz="0" w:space="0" w:color="auto"/>
            <w:bottom w:val="none" w:sz="0" w:space="0" w:color="auto"/>
            <w:right w:val="none" w:sz="0" w:space="0" w:color="auto"/>
          </w:divBdr>
        </w:div>
        <w:div w:id="529">
          <w:marLeft w:val="0"/>
          <w:marRight w:val="0"/>
          <w:marTop w:val="-20"/>
          <w:marBottom w:val="-20"/>
          <w:divBdr>
            <w:top w:val="none" w:sz="0" w:space="0" w:color="auto"/>
            <w:left w:val="none" w:sz="0" w:space="0" w:color="auto"/>
            <w:bottom w:val="none" w:sz="0" w:space="0" w:color="auto"/>
            <w:right w:val="none" w:sz="0" w:space="0" w:color="auto"/>
          </w:divBdr>
        </w:div>
        <w:div w:id="530">
          <w:marLeft w:val="0"/>
          <w:marRight w:val="0"/>
          <w:marTop w:val="-20"/>
          <w:marBottom w:val="-20"/>
          <w:divBdr>
            <w:top w:val="none" w:sz="0" w:space="0" w:color="auto"/>
            <w:left w:val="none" w:sz="0" w:space="0" w:color="auto"/>
            <w:bottom w:val="none" w:sz="0" w:space="0" w:color="auto"/>
            <w:right w:val="none" w:sz="0" w:space="0" w:color="auto"/>
          </w:divBdr>
        </w:div>
        <w:div w:id="531">
          <w:marLeft w:val="0"/>
          <w:marRight w:val="0"/>
          <w:marTop w:val="-20"/>
          <w:marBottom w:val="-20"/>
          <w:divBdr>
            <w:top w:val="none" w:sz="0" w:space="0" w:color="auto"/>
            <w:left w:val="none" w:sz="0" w:space="0" w:color="auto"/>
            <w:bottom w:val="none" w:sz="0" w:space="0" w:color="auto"/>
            <w:right w:val="none" w:sz="0" w:space="0" w:color="auto"/>
          </w:divBdr>
        </w:div>
        <w:div w:id="532">
          <w:marLeft w:val="0"/>
          <w:marRight w:val="0"/>
          <w:marTop w:val="-20"/>
          <w:marBottom w:val="-20"/>
          <w:divBdr>
            <w:top w:val="none" w:sz="0" w:space="0" w:color="auto"/>
            <w:left w:val="none" w:sz="0" w:space="0" w:color="auto"/>
            <w:bottom w:val="none" w:sz="0" w:space="0" w:color="auto"/>
            <w:right w:val="none" w:sz="0" w:space="0" w:color="auto"/>
          </w:divBdr>
        </w:div>
        <w:div w:id="533">
          <w:marLeft w:val="0"/>
          <w:marRight w:val="0"/>
          <w:marTop w:val="-20"/>
          <w:marBottom w:val="-20"/>
          <w:divBdr>
            <w:top w:val="none" w:sz="0" w:space="0" w:color="auto"/>
            <w:left w:val="none" w:sz="0" w:space="0" w:color="auto"/>
            <w:bottom w:val="none" w:sz="0" w:space="0" w:color="auto"/>
            <w:right w:val="none" w:sz="0" w:space="0" w:color="auto"/>
          </w:divBdr>
        </w:div>
        <w:div w:id="534">
          <w:marLeft w:val="0"/>
          <w:marRight w:val="0"/>
          <w:marTop w:val="-20"/>
          <w:marBottom w:val="-20"/>
          <w:divBdr>
            <w:top w:val="none" w:sz="0" w:space="0" w:color="auto"/>
            <w:left w:val="none" w:sz="0" w:space="0" w:color="auto"/>
            <w:bottom w:val="none" w:sz="0" w:space="0" w:color="auto"/>
            <w:right w:val="none" w:sz="0" w:space="0" w:color="auto"/>
          </w:divBdr>
        </w:div>
        <w:div w:id="535">
          <w:marLeft w:val="0"/>
          <w:marRight w:val="0"/>
          <w:marTop w:val="-20"/>
          <w:marBottom w:val="-20"/>
          <w:divBdr>
            <w:top w:val="none" w:sz="0" w:space="0" w:color="auto"/>
            <w:left w:val="none" w:sz="0" w:space="0" w:color="auto"/>
            <w:bottom w:val="none" w:sz="0" w:space="0" w:color="auto"/>
            <w:right w:val="none" w:sz="0" w:space="0" w:color="auto"/>
          </w:divBdr>
        </w:div>
        <w:div w:id="536">
          <w:marLeft w:val="0"/>
          <w:marRight w:val="0"/>
          <w:marTop w:val="-20"/>
          <w:marBottom w:val="-20"/>
          <w:divBdr>
            <w:top w:val="none" w:sz="0" w:space="0" w:color="auto"/>
            <w:left w:val="none" w:sz="0" w:space="0" w:color="auto"/>
            <w:bottom w:val="none" w:sz="0" w:space="0" w:color="auto"/>
            <w:right w:val="none" w:sz="0" w:space="0" w:color="auto"/>
          </w:divBdr>
        </w:div>
        <w:div w:id="537">
          <w:marLeft w:val="0"/>
          <w:marRight w:val="0"/>
          <w:marTop w:val="-20"/>
          <w:marBottom w:val="-20"/>
          <w:divBdr>
            <w:top w:val="none" w:sz="0" w:space="0" w:color="auto"/>
            <w:left w:val="none" w:sz="0" w:space="0" w:color="auto"/>
            <w:bottom w:val="none" w:sz="0" w:space="0" w:color="auto"/>
            <w:right w:val="none" w:sz="0" w:space="0" w:color="auto"/>
          </w:divBdr>
        </w:div>
        <w:div w:id="538">
          <w:marLeft w:val="0"/>
          <w:marRight w:val="0"/>
          <w:marTop w:val="-20"/>
          <w:marBottom w:val="-20"/>
          <w:divBdr>
            <w:top w:val="none" w:sz="0" w:space="0" w:color="auto"/>
            <w:left w:val="none" w:sz="0" w:space="0" w:color="auto"/>
            <w:bottom w:val="none" w:sz="0" w:space="0" w:color="auto"/>
            <w:right w:val="none" w:sz="0" w:space="0" w:color="auto"/>
          </w:divBdr>
        </w:div>
        <w:div w:id="539">
          <w:marLeft w:val="0"/>
          <w:marRight w:val="0"/>
          <w:marTop w:val="-20"/>
          <w:marBottom w:val="-20"/>
          <w:divBdr>
            <w:top w:val="none" w:sz="0" w:space="0" w:color="auto"/>
            <w:left w:val="none" w:sz="0" w:space="0" w:color="auto"/>
            <w:bottom w:val="none" w:sz="0" w:space="0" w:color="auto"/>
            <w:right w:val="none" w:sz="0" w:space="0" w:color="auto"/>
          </w:divBdr>
        </w:div>
        <w:div w:id="540">
          <w:marLeft w:val="0"/>
          <w:marRight w:val="0"/>
          <w:marTop w:val="-20"/>
          <w:marBottom w:val="-20"/>
          <w:divBdr>
            <w:top w:val="none" w:sz="0" w:space="0" w:color="auto"/>
            <w:left w:val="none" w:sz="0" w:space="0" w:color="auto"/>
            <w:bottom w:val="none" w:sz="0" w:space="0" w:color="auto"/>
            <w:right w:val="none" w:sz="0" w:space="0" w:color="auto"/>
          </w:divBdr>
        </w:div>
        <w:div w:id="541">
          <w:marLeft w:val="0"/>
          <w:marRight w:val="0"/>
          <w:marTop w:val="-20"/>
          <w:marBottom w:val="-20"/>
          <w:divBdr>
            <w:top w:val="none" w:sz="0" w:space="0" w:color="auto"/>
            <w:left w:val="none" w:sz="0" w:space="0" w:color="auto"/>
            <w:bottom w:val="none" w:sz="0" w:space="0" w:color="auto"/>
            <w:right w:val="none" w:sz="0" w:space="0" w:color="auto"/>
          </w:divBdr>
        </w:div>
        <w:div w:id="542">
          <w:marLeft w:val="0"/>
          <w:marRight w:val="0"/>
          <w:marTop w:val="-20"/>
          <w:marBottom w:val="-20"/>
          <w:divBdr>
            <w:top w:val="none" w:sz="0" w:space="0" w:color="auto"/>
            <w:left w:val="none" w:sz="0" w:space="0" w:color="auto"/>
            <w:bottom w:val="none" w:sz="0" w:space="0" w:color="auto"/>
            <w:right w:val="none" w:sz="0" w:space="0" w:color="auto"/>
          </w:divBdr>
        </w:div>
        <w:div w:id="543">
          <w:marLeft w:val="0"/>
          <w:marRight w:val="0"/>
          <w:marTop w:val="-20"/>
          <w:marBottom w:val="-20"/>
          <w:divBdr>
            <w:top w:val="none" w:sz="0" w:space="0" w:color="auto"/>
            <w:left w:val="none" w:sz="0" w:space="0" w:color="auto"/>
            <w:bottom w:val="none" w:sz="0" w:space="0" w:color="auto"/>
            <w:right w:val="none" w:sz="0" w:space="0" w:color="auto"/>
          </w:divBdr>
        </w:div>
        <w:div w:id="544">
          <w:marLeft w:val="0"/>
          <w:marRight w:val="0"/>
          <w:marTop w:val="-20"/>
          <w:marBottom w:val="-20"/>
          <w:divBdr>
            <w:top w:val="none" w:sz="0" w:space="0" w:color="auto"/>
            <w:left w:val="none" w:sz="0" w:space="0" w:color="auto"/>
            <w:bottom w:val="none" w:sz="0" w:space="0" w:color="auto"/>
            <w:right w:val="none" w:sz="0" w:space="0" w:color="auto"/>
          </w:divBdr>
        </w:div>
        <w:div w:id="545">
          <w:marLeft w:val="0"/>
          <w:marRight w:val="0"/>
          <w:marTop w:val="-20"/>
          <w:marBottom w:val="-20"/>
          <w:divBdr>
            <w:top w:val="none" w:sz="0" w:space="0" w:color="auto"/>
            <w:left w:val="none" w:sz="0" w:space="0" w:color="auto"/>
            <w:bottom w:val="none" w:sz="0" w:space="0" w:color="auto"/>
            <w:right w:val="none" w:sz="0" w:space="0" w:color="auto"/>
          </w:divBdr>
        </w:div>
        <w:div w:id="546">
          <w:marLeft w:val="0"/>
          <w:marRight w:val="0"/>
          <w:marTop w:val="-20"/>
          <w:marBottom w:val="-20"/>
          <w:divBdr>
            <w:top w:val="none" w:sz="0" w:space="0" w:color="auto"/>
            <w:left w:val="none" w:sz="0" w:space="0" w:color="auto"/>
            <w:bottom w:val="none" w:sz="0" w:space="0" w:color="auto"/>
            <w:right w:val="none" w:sz="0" w:space="0" w:color="auto"/>
          </w:divBdr>
        </w:div>
        <w:div w:id="547">
          <w:marLeft w:val="0"/>
          <w:marRight w:val="0"/>
          <w:marTop w:val="-20"/>
          <w:marBottom w:val="-20"/>
          <w:divBdr>
            <w:top w:val="none" w:sz="0" w:space="0" w:color="auto"/>
            <w:left w:val="none" w:sz="0" w:space="0" w:color="auto"/>
            <w:bottom w:val="none" w:sz="0" w:space="0" w:color="auto"/>
            <w:right w:val="none" w:sz="0" w:space="0" w:color="auto"/>
          </w:divBdr>
        </w:div>
        <w:div w:id="548">
          <w:marLeft w:val="0"/>
          <w:marRight w:val="0"/>
          <w:marTop w:val="-20"/>
          <w:marBottom w:val="-20"/>
          <w:divBdr>
            <w:top w:val="none" w:sz="0" w:space="0" w:color="auto"/>
            <w:left w:val="none" w:sz="0" w:space="0" w:color="auto"/>
            <w:bottom w:val="none" w:sz="0" w:space="0" w:color="auto"/>
            <w:right w:val="none" w:sz="0" w:space="0" w:color="auto"/>
          </w:divBdr>
        </w:div>
        <w:div w:id="549">
          <w:marLeft w:val="0"/>
          <w:marRight w:val="0"/>
          <w:marTop w:val="-20"/>
          <w:marBottom w:val="-20"/>
          <w:divBdr>
            <w:top w:val="none" w:sz="0" w:space="0" w:color="auto"/>
            <w:left w:val="none" w:sz="0" w:space="0" w:color="auto"/>
            <w:bottom w:val="none" w:sz="0" w:space="0" w:color="auto"/>
            <w:right w:val="none" w:sz="0" w:space="0" w:color="auto"/>
          </w:divBdr>
        </w:div>
        <w:div w:id="550">
          <w:marLeft w:val="0"/>
          <w:marRight w:val="0"/>
          <w:marTop w:val="-20"/>
          <w:marBottom w:val="-20"/>
          <w:divBdr>
            <w:top w:val="none" w:sz="0" w:space="0" w:color="auto"/>
            <w:left w:val="none" w:sz="0" w:space="0" w:color="auto"/>
            <w:bottom w:val="none" w:sz="0" w:space="0" w:color="auto"/>
            <w:right w:val="none" w:sz="0" w:space="0" w:color="auto"/>
          </w:divBdr>
        </w:div>
        <w:div w:id="551">
          <w:marLeft w:val="0"/>
          <w:marRight w:val="0"/>
          <w:marTop w:val="-20"/>
          <w:marBottom w:val="-20"/>
          <w:divBdr>
            <w:top w:val="none" w:sz="0" w:space="0" w:color="auto"/>
            <w:left w:val="none" w:sz="0" w:space="0" w:color="auto"/>
            <w:bottom w:val="none" w:sz="0" w:space="0" w:color="auto"/>
            <w:right w:val="none" w:sz="0" w:space="0" w:color="auto"/>
          </w:divBdr>
        </w:div>
        <w:div w:id="552">
          <w:marLeft w:val="0"/>
          <w:marRight w:val="0"/>
          <w:marTop w:val="-20"/>
          <w:marBottom w:val="-20"/>
          <w:divBdr>
            <w:top w:val="none" w:sz="0" w:space="0" w:color="auto"/>
            <w:left w:val="none" w:sz="0" w:space="0" w:color="auto"/>
            <w:bottom w:val="none" w:sz="0" w:space="0" w:color="auto"/>
            <w:right w:val="none" w:sz="0" w:space="0" w:color="auto"/>
          </w:divBdr>
        </w:div>
        <w:div w:id="553">
          <w:marLeft w:val="0"/>
          <w:marRight w:val="0"/>
          <w:marTop w:val="-20"/>
          <w:marBottom w:val="-20"/>
          <w:divBdr>
            <w:top w:val="none" w:sz="0" w:space="0" w:color="auto"/>
            <w:left w:val="none" w:sz="0" w:space="0" w:color="auto"/>
            <w:bottom w:val="none" w:sz="0" w:space="0" w:color="auto"/>
            <w:right w:val="none" w:sz="0" w:space="0" w:color="auto"/>
          </w:divBdr>
        </w:div>
        <w:div w:id="554">
          <w:marLeft w:val="0"/>
          <w:marRight w:val="0"/>
          <w:marTop w:val="-20"/>
          <w:marBottom w:val="-20"/>
          <w:divBdr>
            <w:top w:val="none" w:sz="0" w:space="0" w:color="auto"/>
            <w:left w:val="none" w:sz="0" w:space="0" w:color="auto"/>
            <w:bottom w:val="none" w:sz="0" w:space="0" w:color="auto"/>
            <w:right w:val="none" w:sz="0" w:space="0" w:color="auto"/>
          </w:divBdr>
        </w:div>
        <w:div w:id="555">
          <w:marLeft w:val="0"/>
          <w:marRight w:val="0"/>
          <w:marTop w:val="-20"/>
          <w:marBottom w:val="-20"/>
          <w:divBdr>
            <w:top w:val="none" w:sz="0" w:space="0" w:color="auto"/>
            <w:left w:val="none" w:sz="0" w:space="0" w:color="auto"/>
            <w:bottom w:val="none" w:sz="0" w:space="0" w:color="auto"/>
            <w:right w:val="none" w:sz="0" w:space="0" w:color="auto"/>
          </w:divBdr>
        </w:div>
        <w:div w:id="556">
          <w:marLeft w:val="0"/>
          <w:marRight w:val="0"/>
          <w:marTop w:val="-20"/>
          <w:marBottom w:val="-20"/>
          <w:divBdr>
            <w:top w:val="none" w:sz="0" w:space="0" w:color="auto"/>
            <w:left w:val="none" w:sz="0" w:space="0" w:color="auto"/>
            <w:bottom w:val="none" w:sz="0" w:space="0" w:color="auto"/>
            <w:right w:val="none" w:sz="0" w:space="0" w:color="auto"/>
          </w:divBdr>
        </w:div>
        <w:div w:id="557">
          <w:marLeft w:val="0"/>
          <w:marRight w:val="0"/>
          <w:marTop w:val="-20"/>
          <w:marBottom w:val="-20"/>
          <w:divBdr>
            <w:top w:val="none" w:sz="0" w:space="0" w:color="auto"/>
            <w:left w:val="none" w:sz="0" w:space="0" w:color="auto"/>
            <w:bottom w:val="none" w:sz="0" w:space="0" w:color="auto"/>
            <w:right w:val="none" w:sz="0" w:space="0" w:color="auto"/>
          </w:divBdr>
        </w:div>
        <w:div w:id="558">
          <w:marLeft w:val="0"/>
          <w:marRight w:val="0"/>
          <w:marTop w:val="-20"/>
          <w:marBottom w:val="-20"/>
          <w:divBdr>
            <w:top w:val="none" w:sz="0" w:space="0" w:color="auto"/>
            <w:left w:val="none" w:sz="0" w:space="0" w:color="auto"/>
            <w:bottom w:val="none" w:sz="0" w:space="0" w:color="auto"/>
            <w:right w:val="none" w:sz="0" w:space="0" w:color="auto"/>
          </w:divBdr>
        </w:div>
        <w:div w:id="559">
          <w:marLeft w:val="0"/>
          <w:marRight w:val="0"/>
          <w:marTop w:val="-20"/>
          <w:marBottom w:val="-20"/>
          <w:divBdr>
            <w:top w:val="none" w:sz="0" w:space="0" w:color="auto"/>
            <w:left w:val="none" w:sz="0" w:space="0" w:color="auto"/>
            <w:bottom w:val="none" w:sz="0" w:space="0" w:color="auto"/>
            <w:right w:val="none" w:sz="0" w:space="0" w:color="auto"/>
          </w:divBdr>
        </w:div>
        <w:div w:id="560">
          <w:marLeft w:val="0"/>
          <w:marRight w:val="0"/>
          <w:marTop w:val="-20"/>
          <w:marBottom w:val="-20"/>
          <w:divBdr>
            <w:top w:val="none" w:sz="0" w:space="0" w:color="auto"/>
            <w:left w:val="none" w:sz="0" w:space="0" w:color="auto"/>
            <w:bottom w:val="none" w:sz="0" w:space="0" w:color="auto"/>
            <w:right w:val="none" w:sz="0" w:space="0" w:color="auto"/>
          </w:divBdr>
        </w:div>
        <w:div w:id="561">
          <w:marLeft w:val="0"/>
          <w:marRight w:val="0"/>
          <w:marTop w:val="-20"/>
          <w:marBottom w:val="-20"/>
          <w:divBdr>
            <w:top w:val="none" w:sz="0" w:space="0" w:color="auto"/>
            <w:left w:val="none" w:sz="0" w:space="0" w:color="auto"/>
            <w:bottom w:val="none" w:sz="0" w:space="0" w:color="auto"/>
            <w:right w:val="none" w:sz="0" w:space="0" w:color="auto"/>
          </w:divBdr>
        </w:div>
        <w:div w:id="562">
          <w:marLeft w:val="0"/>
          <w:marRight w:val="0"/>
          <w:marTop w:val="-20"/>
          <w:marBottom w:val="-20"/>
          <w:divBdr>
            <w:top w:val="none" w:sz="0" w:space="0" w:color="auto"/>
            <w:left w:val="none" w:sz="0" w:space="0" w:color="auto"/>
            <w:bottom w:val="none" w:sz="0" w:space="0" w:color="auto"/>
            <w:right w:val="none" w:sz="0" w:space="0" w:color="auto"/>
          </w:divBdr>
        </w:div>
        <w:div w:id="563">
          <w:marLeft w:val="0"/>
          <w:marRight w:val="0"/>
          <w:marTop w:val="-20"/>
          <w:marBottom w:val="-20"/>
          <w:divBdr>
            <w:top w:val="none" w:sz="0" w:space="0" w:color="auto"/>
            <w:left w:val="none" w:sz="0" w:space="0" w:color="auto"/>
            <w:bottom w:val="none" w:sz="0" w:space="0" w:color="auto"/>
            <w:right w:val="none" w:sz="0" w:space="0" w:color="auto"/>
          </w:divBdr>
        </w:div>
        <w:div w:id="564">
          <w:marLeft w:val="0"/>
          <w:marRight w:val="0"/>
          <w:marTop w:val="-20"/>
          <w:marBottom w:val="-20"/>
          <w:divBdr>
            <w:top w:val="none" w:sz="0" w:space="0" w:color="auto"/>
            <w:left w:val="none" w:sz="0" w:space="0" w:color="auto"/>
            <w:bottom w:val="none" w:sz="0" w:space="0" w:color="auto"/>
            <w:right w:val="none" w:sz="0" w:space="0" w:color="auto"/>
          </w:divBdr>
        </w:div>
        <w:div w:id="565">
          <w:marLeft w:val="0"/>
          <w:marRight w:val="0"/>
          <w:marTop w:val="-20"/>
          <w:marBottom w:val="-20"/>
          <w:divBdr>
            <w:top w:val="none" w:sz="0" w:space="0" w:color="auto"/>
            <w:left w:val="none" w:sz="0" w:space="0" w:color="auto"/>
            <w:bottom w:val="none" w:sz="0" w:space="0" w:color="auto"/>
            <w:right w:val="none" w:sz="0" w:space="0" w:color="auto"/>
          </w:divBdr>
        </w:div>
        <w:div w:id="566">
          <w:marLeft w:val="0"/>
          <w:marRight w:val="0"/>
          <w:marTop w:val="-20"/>
          <w:marBottom w:val="-20"/>
          <w:divBdr>
            <w:top w:val="none" w:sz="0" w:space="0" w:color="auto"/>
            <w:left w:val="none" w:sz="0" w:space="0" w:color="auto"/>
            <w:bottom w:val="none" w:sz="0" w:space="0" w:color="auto"/>
            <w:right w:val="none" w:sz="0" w:space="0" w:color="auto"/>
          </w:divBdr>
        </w:div>
        <w:div w:id="567">
          <w:marLeft w:val="0"/>
          <w:marRight w:val="0"/>
          <w:marTop w:val="-20"/>
          <w:marBottom w:val="-20"/>
          <w:divBdr>
            <w:top w:val="none" w:sz="0" w:space="0" w:color="auto"/>
            <w:left w:val="none" w:sz="0" w:space="0" w:color="auto"/>
            <w:bottom w:val="none" w:sz="0" w:space="0" w:color="auto"/>
            <w:right w:val="none" w:sz="0" w:space="0" w:color="auto"/>
          </w:divBdr>
        </w:div>
        <w:div w:id="568">
          <w:marLeft w:val="0"/>
          <w:marRight w:val="0"/>
          <w:marTop w:val="-20"/>
          <w:marBottom w:val="-20"/>
          <w:divBdr>
            <w:top w:val="none" w:sz="0" w:space="0" w:color="auto"/>
            <w:left w:val="none" w:sz="0" w:space="0" w:color="auto"/>
            <w:bottom w:val="none" w:sz="0" w:space="0" w:color="auto"/>
            <w:right w:val="none" w:sz="0" w:space="0" w:color="auto"/>
          </w:divBdr>
        </w:div>
        <w:div w:id="569">
          <w:marLeft w:val="0"/>
          <w:marRight w:val="0"/>
          <w:marTop w:val="-20"/>
          <w:marBottom w:val="-20"/>
          <w:divBdr>
            <w:top w:val="none" w:sz="0" w:space="0" w:color="auto"/>
            <w:left w:val="none" w:sz="0" w:space="0" w:color="auto"/>
            <w:bottom w:val="none" w:sz="0" w:space="0" w:color="auto"/>
            <w:right w:val="none" w:sz="0" w:space="0" w:color="auto"/>
          </w:divBdr>
        </w:div>
        <w:div w:id="570">
          <w:marLeft w:val="0"/>
          <w:marRight w:val="0"/>
          <w:marTop w:val="-20"/>
          <w:marBottom w:val="-20"/>
          <w:divBdr>
            <w:top w:val="none" w:sz="0" w:space="0" w:color="auto"/>
            <w:left w:val="none" w:sz="0" w:space="0" w:color="auto"/>
            <w:bottom w:val="none" w:sz="0" w:space="0" w:color="auto"/>
            <w:right w:val="none" w:sz="0" w:space="0" w:color="auto"/>
          </w:divBdr>
        </w:div>
        <w:div w:id="571">
          <w:marLeft w:val="0"/>
          <w:marRight w:val="0"/>
          <w:marTop w:val="-20"/>
          <w:marBottom w:val="-20"/>
          <w:divBdr>
            <w:top w:val="none" w:sz="0" w:space="0" w:color="auto"/>
            <w:left w:val="none" w:sz="0" w:space="0" w:color="auto"/>
            <w:bottom w:val="none" w:sz="0" w:space="0" w:color="auto"/>
            <w:right w:val="none" w:sz="0" w:space="0" w:color="auto"/>
          </w:divBdr>
        </w:div>
        <w:div w:id="572">
          <w:marLeft w:val="0"/>
          <w:marRight w:val="0"/>
          <w:marTop w:val="-20"/>
          <w:marBottom w:val="-20"/>
          <w:divBdr>
            <w:top w:val="none" w:sz="0" w:space="0" w:color="auto"/>
            <w:left w:val="none" w:sz="0" w:space="0" w:color="auto"/>
            <w:bottom w:val="none" w:sz="0" w:space="0" w:color="auto"/>
            <w:right w:val="none" w:sz="0" w:space="0" w:color="auto"/>
          </w:divBdr>
        </w:div>
        <w:div w:id="573">
          <w:marLeft w:val="0"/>
          <w:marRight w:val="0"/>
          <w:marTop w:val="-20"/>
          <w:marBottom w:val="-20"/>
          <w:divBdr>
            <w:top w:val="none" w:sz="0" w:space="0" w:color="auto"/>
            <w:left w:val="none" w:sz="0" w:space="0" w:color="auto"/>
            <w:bottom w:val="none" w:sz="0" w:space="0" w:color="auto"/>
            <w:right w:val="none" w:sz="0" w:space="0" w:color="auto"/>
          </w:divBdr>
        </w:div>
        <w:div w:id="574">
          <w:marLeft w:val="0"/>
          <w:marRight w:val="0"/>
          <w:marTop w:val="-20"/>
          <w:marBottom w:val="-20"/>
          <w:divBdr>
            <w:top w:val="none" w:sz="0" w:space="0" w:color="auto"/>
            <w:left w:val="none" w:sz="0" w:space="0" w:color="auto"/>
            <w:bottom w:val="none" w:sz="0" w:space="0" w:color="auto"/>
            <w:right w:val="none" w:sz="0" w:space="0" w:color="auto"/>
          </w:divBdr>
        </w:div>
        <w:div w:id="575">
          <w:marLeft w:val="0"/>
          <w:marRight w:val="0"/>
          <w:marTop w:val="-20"/>
          <w:marBottom w:val="-20"/>
          <w:divBdr>
            <w:top w:val="none" w:sz="0" w:space="0" w:color="auto"/>
            <w:left w:val="none" w:sz="0" w:space="0" w:color="auto"/>
            <w:bottom w:val="none" w:sz="0" w:space="0" w:color="auto"/>
            <w:right w:val="none" w:sz="0" w:space="0" w:color="auto"/>
          </w:divBdr>
        </w:div>
        <w:div w:id="576">
          <w:marLeft w:val="0"/>
          <w:marRight w:val="0"/>
          <w:marTop w:val="-20"/>
          <w:marBottom w:val="-20"/>
          <w:divBdr>
            <w:top w:val="none" w:sz="0" w:space="0" w:color="auto"/>
            <w:left w:val="none" w:sz="0" w:space="0" w:color="auto"/>
            <w:bottom w:val="none" w:sz="0" w:space="0" w:color="auto"/>
            <w:right w:val="none" w:sz="0" w:space="0" w:color="auto"/>
          </w:divBdr>
        </w:div>
        <w:div w:id="577">
          <w:marLeft w:val="0"/>
          <w:marRight w:val="0"/>
          <w:marTop w:val="-20"/>
          <w:marBottom w:val="-20"/>
          <w:divBdr>
            <w:top w:val="none" w:sz="0" w:space="0" w:color="auto"/>
            <w:left w:val="none" w:sz="0" w:space="0" w:color="auto"/>
            <w:bottom w:val="none" w:sz="0" w:space="0" w:color="auto"/>
            <w:right w:val="none" w:sz="0" w:space="0" w:color="auto"/>
          </w:divBdr>
        </w:div>
        <w:div w:id="578">
          <w:marLeft w:val="0"/>
          <w:marRight w:val="0"/>
          <w:marTop w:val="-20"/>
          <w:marBottom w:val="-20"/>
          <w:divBdr>
            <w:top w:val="none" w:sz="0" w:space="0" w:color="auto"/>
            <w:left w:val="none" w:sz="0" w:space="0" w:color="auto"/>
            <w:bottom w:val="none" w:sz="0" w:space="0" w:color="auto"/>
            <w:right w:val="none" w:sz="0" w:space="0" w:color="auto"/>
          </w:divBdr>
        </w:div>
        <w:div w:id="579">
          <w:marLeft w:val="0"/>
          <w:marRight w:val="0"/>
          <w:marTop w:val="-20"/>
          <w:marBottom w:val="-20"/>
          <w:divBdr>
            <w:top w:val="none" w:sz="0" w:space="0" w:color="auto"/>
            <w:left w:val="none" w:sz="0" w:space="0" w:color="auto"/>
            <w:bottom w:val="none" w:sz="0" w:space="0" w:color="auto"/>
            <w:right w:val="none" w:sz="0" w:space="0" w:color="auto"/>
          </w:divBdr>
        </w:div>
        <w:div w:id="580">
          <w:marLeft w:val="0"/>
          <w:marRight w:val="0"/>
          <w:marTop w:val="-20"/>
          <w:marBottom w:val="-20"/>
          <w:divBdr>
            <w:top w:val="none" w:sz="0" w:space="0" w:color="auto"/>
            <w:left w:val="none" w:sz="0" w:space="0" w:color="auto"/>
            <w:bottom w:val="none" w:sz="0" w:space="0" w:color="auto"/>
            <w:right w:val="none" w:sz="0" w:space="0" w:color="auto"/>
          </w:divBdr>
        </w:div>
        <w:div w:id="581">
          <w:marLeft w:val="0"/>
          <w:marRight w:val="0"/>
          <w:marTop w:val="-20"/>
          <w:marBottom w:val="-20"/>
          <w:divBdr>
            <w:top w:val="none" w:sz="0" w:space="0" w:color="auto"/>
            <w:left w:val="none" w:sz="0" w:space="0" w:color="auto"/>
            <w:bottom w:val="none" w:sz="0" w:space="0" w:color="auto"/>
            <w:right w:val="none" w:sz="0" w:space="0" w:color="auto"/>
          </w:divBdr>
        </w:div>
        <w:div w:id="582">
          <w:marLeft w:val="0"/>
          <w:marRight w:val="0"/>
          <w:marTop w:val="-20"/>
          <w:marBottom w:val="-20"/>
          <w:divBdr>
            <w:top w:val="none" w:sz="0" w:space="0" w:color="auto"/>
            <w:left w:val="none" w:sz="0" w:space="0" w:color="auto"/>
            <w:bottom w:val="none" w:sz="0" w:space="0" w:color="auto"/>
            <w:right w:val="none" w:sz="0" w:space="0" w:color="auto"/>
          </w:divBdr>
        </w:div>
        <w:div w:id="583">
          <w:marLeft w:val="0"/>
          <w:marRight w:val="0"/>
          <w:marTop w:val="-20"/>
          <w:marBottom w:val="-20"/>
          <w:divBdr>
            <w:top w:val="none" w:sz="0" w:space="0" w:color="auto"/>
            <w:left w:val="none" w:sz="0" w:space="0" w:color="auto"/>
            <w:bottom w:val="none" w:sz="0" w:space="0" w:color="auto"/>
            <w:right w:val="none" w:sz="0" w:space="0" w:color="auto"/>
          </w:divBdr>
        </w:div>
        <w:div w:id="584">
          <w:marLeft w:val="0"/>
          <w:marRight w:val="0"/>
          <w:marTop w:val="-20"/>
          <w:marBottom w:val="-20"/>
          <w:divBdr>
            <w:top w:val="none" w:sz="0" w:space="0" w:color="auto"/>
            <w:left w:val="none" w:sz="0" w:space="0" w:color="auto"/>
            <w:bottom w:val="none" w:sz="0" w:space="0" w:color="auto"/>
            <w:right w:val="none" w:sz="0" w:space="0" w:color="auto"/>
          </w:divBdr>
        </w:div>
        <w:div w:id="585">
          <w:marLeft w:val="0"/>
          <w:marRight w:val="0"/>
          <w:marTop w:val="-20"/>
          <w:marBottom w:val="-20"/>
          <w:divBdr>
            <w:top w:val="none" w:sz="0" w:space="0" w:color="auto"/>
            <w:left w:val="none" w:sz="0" w:space="0" w:color="auto"/>
            <w:bottom w:val="none" w:sz="0" w:space="0" w:color="auto"/>
            <w:right w:val="none" w:sz="0" w:space="0" w:color="auto"/>
          </w:divBdr>
        </w:div>
        <w:div w:id="586">
          <w:marLeft w:val="0"/>
          <w:marRight w:val="0"/>
          <w:marTop w:val="-20"/>
          <w:marBottom w:val="-20"/>
          <w:divBdr>
            <w:top w:val="none" w:sz="0" w:space="0" w:color="auto"/>
            <w:left w:val="none" w:sz="0" w:space="0" w:color="auto"/>
            <w:bottom w:val="none" w:sz="0" w:space="0" w:color="auto"/>
            <w:right w:val="none" w:sz="0" w:space="0" w:color="auto"/>
          </w:divBdr>
        </w:div>
        <w:div w:id="587">
          <w:marLeft w:val="0"/>
          <w:marRight w:val="0"/>
          <w:marTop w:val="-20"/>
          <w:marBottom w:val="-20"/>
          <w:divBdr>
            <w:top w:val="none" w:sz="0" w:space="0" w:color="auto"/>
            <w:left w:val="none" w:sz="0" w:space="0" w:color="auto"/>
            <w:bottom w:val="none" w:sz="0" w:space="0" w:color="auto"/>
            <w:right w:val="none" w:sz="0" w:space="0" w:color="auto"/>
          </w:divBdr>
        </w:div>
        <w:div w:id="588">
          <w:marLeft w:val="0"/>
          <w:marRight w:val="0"/>
          <w:marTop w:val="-20"/>
          <w:marBottom w:val="-20"/>
          <w:divBdr>
            <w:top w:val="none" w:sz="0" w:space="0" w:color="auto"/>
            <w:left w:val="none" w:sz="0" w:space="0" w:color="auto"/>
            <w:bottom w:val="none" w:sz="0" w:space="0" w:color="auto"/>
            <w:right w:val="none" w:sz="0" w:space="0" w:color="auto"/>
          </w:divBdr>
        </w:div>
        <w:div w:id="589">
          <w:marLeft w:val="0"/>
          <w:marRight w:val="0"/>
          <w:marTop w:val="-20"/>
          <w:marBottom w:val="-20"/>
          <w:divBdr>
            <w:top w:val="none" w:sz="0" w:space="0" w:color="auto"/>
            <w:left w:val="none" w:sz="0" w:space="0" w:color="auto"/>
            <w:bottom w:val="none" w:sz="0" w:space="0" w:color="auto"/>
            <w:right w:val="none" w:sz="0" w:space="0" w:color="auto"/>
          </w:divBdr>
        </w:div>
        <w:div w:id="590">
          <w:marLeft w:val="0"/>
          <w:marRight w:val="0"/>
          <w:marTop w:val="-20"/>
          <w:marBottom w:val="-20"/>
          <w:divBdr>
            <w:top w:val="none" w:sz="0" w:space="0" w:color="auto"/>
            <w:left w:val="none" w:sz="0" w:space="0" w:color="auto"/>
            <w:bottom w:val="none" w:sz="0" w:space="0" w:color="auto"/>
            <w:right w:val="none" w:sz="0" w:space="0" w:color="auto"/>
          </w:divBdr>
        </w:div>
        <w:div w:id="591">
          <w:marLeft w:val="0"/>
          <w:marRight w:val="0"/>
          <w:marTop w:val="-20"/>
          <w:marBottom w:val="-20"/>
          <w:divBdr>
            <w:top w:val="none" w:sz="0" w:space="0" w:color="auto"/>
            <w:left w:val="none" w:sz="0" w:space="0" w:color="auto"/>
            <w:bottom w:val="none" w:sz="0" w:space="0" w:color="auto"/>
            <w:right w:val="none" w:sz="0" w:space="0" w:color="auto"/>
          </w:divBdr>
        </w:div>
        <w:div w:id="592">
          <w:marLeft w:val="0"/>
          <w:marRight w:val="0"/>
          <w:marTop w:val="-20"/>
          <w:marBottom w:val="-20"/>
          <w:divBdr>
            <w:top w:val="none" w:sz="0" w:space="0" w:color="auto"/>
            <w:left w:val="none" w:sz="0" w:space="0" w:color="auto"/>
            <w:bottom w:val="none" w:sz="0" w:space="0" w:color="auto"/>
            <w:right w:val="none" w:sz="0" w:space="0" w:color="auto"/>
          </w:divBdr>
        </w:div>
        <w:div w:id="593">
          <w:marLeft w:val="0"/>
          <w:marRight w:val="0"/>
          <w:marTop w:val="-20"/>
          <w:marBottom w:val="-20"/>
          <w:divBdr>
            <w:top w:val="none" w:sz="0" w:space="0" w:color="auto"/>
            <w:left w:val="none" w:sz="0" w:space="0" w:color="auto"/>
            <w:bottom w:val="none" w:sz="0" w:space="0" w:color="auto"/>
            <w:right w:val="none" w:sz="0" w:space="0" w:color="auto"/>
          </w:divBdr>
        </w:div>
        <w:div w:id="594">
          <w:marLeft w:val="0"/>
          <w:marRight w:val="0"/>
          <w:marTop w:val="-20"/>
          <w:marBottom w:val="-20"/>
          <w:divBdr>
            <w:top w:val="none" w:sz="0" w:space="0" w:color="auto"/>
            <w:left w:val="none" w:sz="0" w:space="0" w:color="auto"/>
            <w:bottom w:val="none" w:sz="0" w:space="0" w:color="auto"/>
            <w:right w:val="none" w:sz="0" w:space="0" w:color="auto"/>
          </w:divBdr>
        </w:div>
        <w:div w:id="595">
          <w:marLeft w:val="0"/>
          <w:marRight w:val="0"/>
          <w:marTop w:val="-20"/>
          <w:marBottom w:val="-20"/>
          <w:divBdr>
            <w:top w:val="none" w:sz="0" w:space="0" w:color="auto"/>
            <w:left w:val="none" w:sz="0" w:space="0" w:color="auto"/>
            <w:bottom w:val="none" w:sz="0" w:space="0" w:color="auto"/>
            <w:right w:val="none" w:sz="0" w:space="0" w:color="auto"/>
          </w:divBdr>
        </w:div>
        <w:div w:id="596">
          <w:marLeft w:val="0"/>
          <w:marRight w:val="0"/>
          <w:marTop w:val="-20"/>
          <w:marBottom w:val="-20"/>
          <w:divBdr>
            <w:top w:val="none" w:sz="0" w:space="0" w:color="auto"/>
            <w:left w:val="none" w:sz="0" w:space="0" w:color="auto"/>
            <w:bottom w:val="none" w:sz="0" w:space="0" w:color="auto"/>
            <w:right w:val="none" w:sz="0" w:space="0" w:color="auto"/>
          </w:divBdr>
        </w:div>
        <w:div w:id="597">
          <w:marLeft w:val="0"/>
          <w:marRight w:val="0"/>
          <w:marTop w:val="-20"/>
          <w:marBottom w:val="-20"/>
          <w:divBdr>
            <w:top w:val="none" w:sz="0" w:space="0" w:color="auto"/>
            <w:left w:val="none" w:sz="0" w:space="0" w:color="auto"/>
            <w:bottom w:val="none" w:sz="0" w:space="0" w:color="auto"/>
            <w:right w:val="none" w:sz="0" w:space="0" w:color="auto"/>
          </w:divBdr>
        </w:div>
        <w:div w:id="598">
          <w:marLeft w:val="0"/>
          <w:marRight w:val="0"/>
          <w:marTop w:val="-20"/>
          <w:marBottom w:val="-20"/>
          <w:divBdr>
            <w:top w:val="none" w:sz="0" w:space="0" w:color="auto"/>
            <w:left w:val="none" w:sz="0" w:space="0" w:color="auto"/>
            <w:bottom w:val="none" w:sz="0" w:space="0" w:color="auto"/>
            <w:right w:val="none" w:sz="0" w:space="0" w:color="auto"/>
          </w:divBdr>
        </w:div>
        <w:div w:id="599">
          <w:marLeft w:val="0"/>
          <w:marRight w:val="0"/>
          <w:marTop w:val="-20"/>
          <w:marBottom w:val="-20"/>
          <w:divBdr>
            <w:top w:val="none" w:sz="0" w:space="0" w:color="auto"/>
            <w:left w:val="none" w:sz="0" w:space="0" w:color="auto"/>
            <w:bottom w:val="none" w:sz="0" w:space="0" w:color="auto"/>
            <w:right w:val="none" w:sz="0" w:space="0" w:color="auto"/>
          </w:divBdr>
        </w:div>
        <w:div w:id="600">
          <w:marLeft w:val="0"/>
          <w:marRight w:val="0"/>
          <w:marTop w:val="-20"/>
          <w:marBottom w:val="-20"/>
          <w:divBdr>
            <w:top w:val="none" w:sz="0" w:space="0" w:color="auto"/>
            <w:left w:val="none" w:sz="0" w:space="0" w:color="auto"/>
            <w:bottom w:val="none" w:sz="0" w:space="0" w:color="auto"/>
            <w:right w:val="none" w:sz="0" w:space="0" w:color="auto"/>
          </w:divBdr>
        </w:div>
        <w:div w:id="601">
          <w:marLeft w:val="0"/>
          <w:marRight w:val="0"/>
          <w:marTop w:val="-20"/>
          <w:marBottom w:val="-20"/>
          <w:divBdr>
            <w:top w:val="none" w:sz="0" w:space="0" w:color="auto"/>
            <w:left w:val="none" w:sz="0" w:space="0" w:color="auto"/>
            <w:bottom w:val="none" w:sz="0" w:space="0" w:color="auto"/>
            <w:right w:val="none" w:sz="0" w:space="0" w:color="auto"/>
          </w:divBdr>
        </w:div>
        <w:div w:id="602">
          <w:marLeft w:val="0"/>
          <w:marRight w:val="0"/>
          <w:marTop w:val="-20"/>
          <w:marBottom w:val="-20"/>
          <w:divBdr>
            <w:top w:val="none" w:sz="0" w:space="0" w:color="auto"/>
            <w:left w:val="none" w:sz="0" w:space="0" w:color="auto"/>
            <w:bottom w:val="none" w:sz="0" w:space="0" w:color="auto"/>
            <w:right w:val="none" w:sz="0" w:space="0" w:color="auto"/>
          </w:divBdr>
        </w:div>
        <w:div w:id="603">
          <w:marLeft w:val="0"/>
          <w:marRight w:val="0"/>
          <w:marTop w:val="-20"/>
          <w:marBottom w:val="-20"/>
          <w:divBdr>
            <w:top w:val="none" w:sz="0" w:space="0" w:color="auto"/>
            <w:left w:val="none" w:sz="0" w:space="0" w:color="auto"/>
            <w:bottom w:val="none" w:sz="0" w:space="0" w:color="auto"/>
            <w:right w:val="none" w:sz="0" w:space="0" w:color="auto"/>
          </w:divBdr>
        </w:div>
        <w:div w:id="604">
          <w:marLeft w:val="0"/>
          <w:marRight w:val="0"/>
          <w:marTop w:val="-20"/>
          <w:marBottom w:val="-20"/>
          <w:divBdr>
            <w:top w:val="none" w:sz="0" w:space="0" w:color="auto"/>
            <w:left w:val="none" w:sz="0" w:space="0" w:color="auto"/>
            <w:bottom w:val="none" w:sz="0" w:space="0" w:color="auto"/>
            <w:right w:val="none" w:sz="0" w:space="0" w:color="auto"/>
          </w:divBdr>
        </w:div>
        <w:div w:id="605">
          <w:marLeft w:val="0"/>
          <w:marRight w:val="0"/>
          <w:marTop w:val="-20"/>
          <w:marBottom w:val="-20"/>
          <w:divBdr>
            <w:top w:val="none" w:sz="0" w:space="0" w:color="auto"/>
            <w:left w:val="none" w:sz="0" w:space="0" w:color="auto"/>
            <w:bottom w:val="none" w:sz="0" w:space="0" w:color="auto"/>
            <w:right w:val="none" w:sz="0" w:space="0" w:color="auto"/>
          </w:divBdr>
        </w:div>
        <w:div w:id="606">
          <w:marLeft w:val="0"/>
          <w:marRight w:val="0"/>
          <w:marTop w:val="-20"/>
          <w:marBottom w:val="-20"/>
          <w:divBdr>
            <w:top w:val="none" w:sz="0" w:space="0" w:color="auto"/>
            <w:left w:val="none" w:sz="0" w:space="0" w:color="auto"/>
            <w:bottom w:val="none" w:sz="0" w:space="0" w:color="auto"/>
            <w:right w:val="none" w:sz="0" w:space="0" w:color="auto"/>
          </w:divBdr>
        </w:div>
        <w:div w:id="607">
          <w:marLeft w:val="0"/>
          <w:marRight w:val="0"/>
          <w:marTop w:val="-20"/>
          <w:marBottom w:val="-20"/>
          <w:divBdr>
            <w:top w:val="none" w:sz="0" w:space="0" w:color="auto"/>
            <w:left w:val="none" w:sz="0" w:space="0" w:color="auto"/>
            <w:bottom w:val="none" w:sz="0" w:space="0" w:color="auto"/>
            <w:right w:val="none" w:sz="0" w:space="0" w:color="auto"/>
          </w:divBdr>
        </w:div>
        <w:div w:id="608">
          <w:marLeft w:val="0"/>
          <w:marRight w:val="0"/>
          <w:marTop w:val="-20"/>
          <w:marBottom w:val="-20"/>
          <w:divBdr>
            <w:top w:val="none" w:sz="0" w:space="0" w:color="auto"/>
            <w:left w:val="none" w:sz="0" w:space="0" w:color="auto"/>
            <w:bottom w:val="none" w:sz="0" w:space="0" w:color="auto"/>
            <w:right w:val="none" w:sz="0" w:space="0" w:color="auto"/>
          </w:divBdr>
        </w:div>
        <w:div w:id="609">
          <w:marLeft w:val="0"/>
          <w:marRight w:val="0"/>
          <w:marTop w:val="-20"/>
          <w:marBottom w:val="-20"/>
          <w:divBdr>
            <w:top w:val="none" w:sz="0" w:space="0" w:color="auto"/>
            <w:left w:val="none" w:sz="0" w:space="0" w:color="auto"/>
            <w:bottom w:val="none" w:sz="0" w:space="0" w:color="auto"/>
            <w:right w:val="none" w:sz="0" w:space="0" w:color="auto"/>
          </w:divBdr>
        </w:div>
        <w:div w:id="610">
          <w:marLeft w:val="0"/>
          <w:marRight w:val="0"/>
          <w:marTop w:val="-20"/>
          <w:marBottom w:val="-20"/>
          <w:divBdr>
            <w:top w:val="none" w:sz="0" w:space="0" w:color="auto"/>
            <w:left w:val="none" w:sz="0" w:space="0" w:color="auto"/>
            <w:bottom w:val="none" w:sz="0" w:space="0" w:color="auto"/>
            <w:right w:val="none" w:sz="0" w:space="0" w:color="auto"/>
          </w:divBdr>
        </w:div>
        <w:div w:id="611">
          <w:marLeft w:val="0"/>
          <w:marRight w:val="0"/>
          <w:marTop w:val="-20"/>
          <w:marBottom w:val="-20"/>
          <w:divBdr>
            <w:top w:val="none" w:sz="0" w:space="0" w:color="auto"/>
            <w:left w:val="none" w:sz="0" w:space="0" w:color="auto"/>
            <w:bottom w:val="none" w:sz="0" w:space="0" w:color="auto"/>
            <w:right w:val="none" w:sz="0" w:space="0" w:color="auto"/>
          </w:divBdr>
        </w:div>
        <w:div w:id="612">
          <w:marLeft w:val="0"/>
          <w:marRight w:val="0"/>
          <w:marTop w:val="-20"/>
          <w:marBottom w:val="-20"/>
          <w:divBdr>
            <w:top w:val="none" w:sz="0" w:space="0" w:color="auto"/>
            <w:left w:val="none" w:sz="0" w:space="0" w:color="auto"/>
            <w:bottom w:val="none" w:sz="0" w:space="0" w:color="auto"/>
            <w:right w:val="none" w:sz="0" w:space="0" w:color="auto"/>
          </w:divBdr>
        </w:div>
        <w:div w:id="613">
          <w:marLeft w:val="0"/>
          <w:marRight w:val="0"/>
          <w:marTop w:val="-20"/>
          <w:marBottom w:val="-20"/>
          <w:divBdr>
            <w:top w:val="none" w:sz="0" w:space="0" w:color="auto"/>
            <w:left w:val="none" w:sz="0" w:space="0" w:color="auto"/>
            <w:bottom w:val="none" w:sz="0" w:space="0" w:color="auto"/>
            <w:right w:val="none" w:sz="0" w:space="0" w:color="auto"/>
          </w:divBdr>
        </w:div>
        <w:div w:id="614">
          <w:marLeft w:val="0"/>
          <w:marRight w:val="0"/>
          <w:marTop w:val="-20"/>
          <w:marBottom w:val="-20"/>
          <w:divBdr>
            <w:top w:val="none" w:sz="0" w:space="0" w:color="auto"/>
            <w:left w:val="none" w:sz="0" w:space="0" w:color="auto"/>
            <w:bottom w:val="none" w:sz="0" w:space="0" w:color="auto"/>
            <w:right w:val="none" w:sz="0" w:space="0" w:color="auto"/>
          </w:divBdr>
        </w:div>
        <w:div w:id="615">
          <w:marLeft w:val="0"/>
          <w:marRight w:val="0"/>
          <w:marTop w:val="-20"/>
          <w:marBottom w:val="-20"/>
          <w:divBdr>
            <w:top w:val="none" w:sz="0" w:space="0" w:color="auto"/>
            <w:left w:val="none" w:sz="0" w:space="0" w:color="auto"/>
            <w:bottom w:val="none" w:sz="0" w:space="0" w:color="auto"/>
            <w:right w:val="none" w:sz="0" w:space="0" w:color="auto"/>
          </w:divBdr>
        </w:div>
        <w:div w:id="616">
          <w:marLeft w:val="0"/>
          <w:marRight w:val="0"/>
          <w:marTop w:val="-20"/>
          <w:marBottom w:val="-20"/>
          <w:divBdr>
            <w:top w:val="none" w:sz="0" w:space="0" w:color="auto"/>
            <w:left w:val="none" w:sz="0" w:space="0" w:color="auto"/>
            <w:bottom w:val="none" w:sz="0" w:space="0" w:color="auto"/>
            <w:right w:val="none" w:sz="0" w:space="0" w:color="auto"/>
          </w:divBdr>
        </w:div>
        <w:div w:id="617">
          <w:marLeft w:val="0"/>
          <w:marRight w:val="0"/>
          <w:marTop w:val="-20"/>
          <w:marBottom w:val="-20"/>
          <w:divBdr>
            <w:top w:val="none" w:sz="0" w:space="0" w:color="auto"/>
            <w:left w:val="none" w:sz="0" w:space="0" w:color="auto"/>
            <w:bottom w:val="none" w:sz="0" w:space="0" w:color="auto"/>
            <w:right w:val="none" w:sz="0" w:space="0" w:color="auto"/>
          </w:divBdr>
        </w:div>
        <w:div w:id="618">
          <w:marLeft w:val="0"/>
          <w:marRight w:val="0"/>
          <w:marTop w:val="-20"/>
          <w:marBottom w:val="-20"/>
          <w:divBdr>
            <w:top w:val="none" w:sz="0" w:space="0" w:color="auto"/>
            <w:left w:val="none" w:sz="0" w:space="0" w:color="auto"/>
            <w:bottom w:val="none" w:sz="0" w:space="0" w:color="auto"/>
            <w:right w:val="none" w:sz="0" w:space="0" w:color="auto"/>
          </w:divBdr>
        </w:div>
        <w:div w:id="619">
          <w:marLeft w:val="0"/>
          <w:marRight w:val="0"/>
          <w:marTop w:val="-20"/>
          <w:marBottom w:val="-20"/>
          <w:divBdr>
            <w:top w:val="none" w:sz="0" w:space="0" w:color="auto"/>
            <w:left w:val="none" w:sz="0" w:space="0" w:color="auto"/>
            <w:bottom w:val="none" w:sz="0" w:space="0" w:color="auto"/>
            <w:right w:val="none" w:sz="0" w:space="0" w:color="auto"/>
          </w:divBdr>
        </w:div>
        <w:div w:id="620">
          <w:marLeft w:val="0"/>
          <w:marRight w:val="0"/>
          <w:marTop w:val="-20"/>
          <w:marBottom w:val="-20"/>
          <w:divBdr>
            <w:top w:val="none" w:sz="0" w:space="0" w:color="auto"/>
            <w:left w:val="none" w:sz="0" w:space="0" w:color="auto"/>
            <w:bottom w:val="none" w:sz="0" w:space="0" w:color="auto"/>
            <w:right w:val="none" w:sz="0" w:space="0" w:color="auto"/>
          </w:divBdr>
        </w:div>
        <w:div w:id="621">
          <w:marLeft w:val="0"/>
          <w:marRight w:val="0"/>
          <w:marTop w:val="-20"/>
          <w:marBottom w:val="-20"/>
          <w:divBdr>
            <w:top w:val="none" w:sz="0" w:space="0" w:color="auto"/>
            <w:left w:val="none" w:sz="0" w:space="0" w:color="auto"/>
            <w:bottom w:val="none" w:sz="0" w:space="0" w:color="auto"/>
            <w:right w:val="none" w:sz="0" w:space="0" w:color="auto"/>
          </w:divBdr>
        </w:div>
        <w:div w:id="622">
          <w:marLeft w:val="0"/>
          <w:marRight w:val="0"/>
          <w:marTop w:val="-20"/>
          <w:marBottom w:val="-20"/>
          <w:divBdr>
            <w:top w:val="none" w:sz="0" w:space="0" w:color="auto"/>
            <w:left w:val="none" w:sz="0" w:space="0" w:color="auto"/>
            <w:bottom w:val="none" w:sz="0" w:space="0" w:color="auto"/>
            <w:right w:val="none" w:sz="0" w:space="0" w:color="auto"/>
          </w:divBdr>
        </w:div>
        <w:div w:id="623">
          <w:marLeft w:val="0"/>
          <w:marRight w:val="0"/>
          <w:marTop w:val="-20"/>
          <w:marBottom w:val="-20"/>
          <w:divBdr>
            <w:top w:val="none" w:sz="0" w:space="0" w:color="auto"/>
            <w:left w:val="none" w:sz="0" w:space="0" w:color="auto"/>
            <w:bottom w:val="none" w:sz="0" w:space="0" w:color="auto"/>
            <w:right w:val="none" w:sz="0" w:space="0" w:color="auto"/>
          </w:divBdr>
        </w:div>
        <w:div w:id="624">
          <w:marLeft w:val="0"/>
          <w:marRight w:val="0"/>
          <w:marTop w:val="-20"/>
          <w:marBottom w:val="-20"/>
          <w:divBdr>
            <w:top w:val="none" w:sz="0" w:space="0" w:color="auto"/>
            <w:left w:val="none" w:sz="0" w:space="0" w:color="auto"/>
            <w:bottom w:val="none" w:sz="0" w:space="0" w:color="auto"/>
            <w:right w:val="none" w:sz="0" w:space="0" w:color="auto"/>
          </w:divBdr>
        </w:div>
        <w:div w:id="625">
          <w:marLeft w:val="0"/>
          <w:marRight w:val="0"/>
          <w:marTop w:val="-20"/>
          <w:marBottom w:val="-20"/>
          <w:divBdr>
            <w:top w:val="none" w:sz="0" w:space="0" w:color="auto"/>
            <w:left w:val="none" w:sz="0" w:space="0" w:color="auto"/>
            <w:bottom w:val="none" w:sz="0" w:space="0" w:color="auto"/>
            <w:right w:val="none" w:sz="0" w:space="0" w:color="auto"/>
          </w:divBdr>
        </w:div>
        <w:div w:id="626">
          <w:marLeft w:val="0"/>
          <w:marRight w:val="0"/>
          <w:marTop w:val="-20"/>
          <w:marBottom w:val="-20"/>
          <w:divBdr>
            <w:top w:val="none" w:sz="0" w:space="0" w:color="auto"/>
            <w:left w:val="none" w:sz="0" w:space="0" w:color="auto"/>
            <w:bottom w:val="none" w:sz="0" w:space="0" w:color="auto"/>
            <w:right w:val="none" w:sz="0" w:space="0" w:color="auto"/>
          </w:divBdr>
        </w:div>
        <w:div w:id="627">
          <w:marLeft w:val="0"/>
          <w:marRight w:val="0"/>
          <w:marTop w:val="-20"/>
          <w:marBottom w:val="-20"/>
          <w:divBdr>
            <w:top w:val="none" w:sz="0" w:space="0" w:color="auto"/>
            <w:left w:val="none" w:sz="0" w:space="0" w:color="auto"/>
            <w:bottom w:val="none" w:sz="0" w:space="0" w:color="auto"/>
            <w:right w:val="none" w:sz="0" w:space="0" w:color="auto"/>
          </w:divBdr>
        </w:div>
        <w:div w:id="628">
          <w:marLeft w:val="0"/>
          <w:marRight w:val="0"/>
          <w:marTop w:val="-20"/>
          <w:marBottom w:val="-20"/>
          <w:divBdr>
            <w:top w:val="none" w:sz="0" w:space="0" w:color="auto"/>
            <w:left w:val="none" w:sz="0" w:space="0" w:color="auto"/>
            <w:bottom w:val="none" w:sz="0" w:space="0" w:color="auto"/>
            <w:right w:val="none" w:sz="0" w:space="0" w:color="auto"/>
          </w:divBdr>
        </w:div>
        <w:div w:id="629">
          <w:marLeft w:val="0"/>
          <w:marRight w:val="0"/>
          <w:marTop w:val="-20"/>
          <w:marBottom w:val="-20"/>
          <w:divBdr>
            <w:top w:val="none" w:sz="0" w:space="0" w:color="auto"/>
            <w:left w:val="none" w:sz="0" w:space="0" w:color="auto"/>
            <w:bottom w:val="none" w:sz="0" w:space="0" w:color="auto"/>
            <w:right w:val="none" w:sz="0" w:space="0" w:color="auto"/>
          </w:divBdr>
        </w:div>
        <w:div w:id="630">
          <w:marLeft w:val="0"/>
          <w:marRight w:val="0"/>
          <w:marTop w:val="-20"/>
          <w:marBottom w:val="-20"/>
          <w:divBdr>
            <w:top w:val="none" w:sz="0" w:space="0" w:color="auto"/>
            <w:left w:val="none" w:sz="0" w:space="0" w:color="auto"/>
            <w:bottom w:val="none" w:sz="0" w:space="0" w:color="auto"/>
            <w:right w:val="none" w:sz="0" w:space="0" w:color="auto"/>
          </w:divBdr>
        </w:div>
        <w:div w:id="631">
          <w:marLeft w:val="0"/>
          <w:marRight w:val="0"/>
          <w:marTop w:val="-20"/>
          <w:marBottom w:val="-20"/>
          <w:divBdr>
            <w:top w:val="none" w:sz="0" w:space="0" w:color="auto"/>
            <w:left w:val="none" w:sz="0" w:space="0" w:color="auto"/>
            <w:bottom w:val="none" w:sz="0" w:space="0" w:color="auto"/>
            <w:right w:val="none" w:sz="0" w:space="0" w:color="auto"/>
          </w:divBdr>
        </w:div>
        <w:div w:id="632">
          <w:marLeft w:val="0"/>
          <w:marRight w:val="0"/>
          <w:marTop w:val="-20"/>
          <w:marBottom w:val="-20"/>
          <w:divBdr>
            <w:top w:val="none" w:sz="0" w:space="0" w:color="auto"/>
            <w:left w:val="none" w:sz="0" w:space="0" w:color="auto"/>
            <w:bottom w:val="none" w:sz="0" w:space="0" w:color="auto"/>
            <w:right w:val="none" w:sz="0" w:space="0" w:color="auto"/>
          </w:divBdr>
        </w:div>
        <w:div w:id="633">
          <w:marLeft w:val="0"/>
          <w:marRight w:val="0"/>
          <w:marTop w:val="-20"/>
          <w:marBottom w:val="-20"/>
          <w:divBdr>
            <w:top w:val="none" w:sz="0" w:space="0" w:color="auto"/>
            <w:left w:val="none" w:sz="0" w:space="0" w:color="auto"/>
            <w:bottom w:val="none" w:sz="0" w:space="0" w:color="auto"/>
            <w:right w:val="none" w:sz="0" w:space="0" w:color="auto"/>
          </w:divBdr>
        </w:div>
        <w:div w:id="634">
          <w:marLeft w:val="0"/>
          <w:marRight w:val="0"/>
          <w:marTop w:val="-20"/>
          <w:marBottom w:val="-20"/>
          <w:divBdr>
            <w:top w:val="none" w:sz="0" w:space="0" w:color="auto"/>
            <w:left w:val="none" w:sz="0" w:space="0" w:color="auto"/>
            <w:bottom w:val="none" w:sz="0" w:space="0" w:color="auto"/>
            <w:right w:val="none" w:sz="0" w:space="0" w:color="auto"/>
          </w:divBdr>
        </w:div>
        <w:div w:id="635">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86-2014-tt-bgtvt-cua-bo-giao-thong-van-tai-quy-dinh-ve-dieu-kien-doi-voi-xe-cho-nguoi-bon-banh-co-gan-dong-co-va-nguoi-dieu-khien-tham-gia-giao-thong-trong-pham-vi-han-che.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2022-06-21T17:00:41Z</dcterms:created>
  <dcterms:modified xsi:type="dcterms:W3CDTF">2022-06-21T17:00:41Z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2022-06-21T17:00:41Z</dcterms:created>
  <dcterms:modified xsi:type="dcterms:W3CDTF">2022-06-21T17:00:41Z</dcterms:modified>
</cp:coreProperties>
</file>