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SỐ </w:t>
      </w:r>
      <w:hyperlink r:id="rId5" w:history="1">
        <w:r>
          <w:rPr>
            <w:rStyle w:val="Hyperlink"/>
          </w:rPr>
          <w:t xml:space="preserve">04/2011/TT-NHNN </w:t>
        </w:r>
      </w:hyperlink>
      <w:r>
        <w:t xml:space="preserve"> NGÀY 10 THÁNG 03 NĂM 2011 CỦA NGÂN HÀNG NHÀ NƯỚC QUY ĐỊNH ÁP DỤNG LÃI SUẤT TRONG TRƯỜNG HỢP TỔ CHỨC, CÁ NHÂN RÚT TIỀN GỬI TRƯỚC HẠN TẠI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Ngân hàng Nhà nước Việt Nam số </w:t>
      </w:r>
      <w:hyperlink r:id="rId6" w:history="1">
        <w:r>
          <w:rPr>
            <w:rStyle w:val="Hyperlink"/>
            <w:i/>
          </w:rPr>
          <w:t xml:space="preserve">46/2010/QH12 </w:t>
        </w:r>
      </w:hyperlink>
      <w:r>
        <w:rPr>
          <w:i/>
        </w:rPr>
        <w:t xml:space="preserve"> ngày 16 tháng 6 năm 2010;</w:t>
      </w:r>
      <w:r>
        <w:rPr>
          <w:i/>
        </w:rPr>
        <w:br/>
      </w:r>
      <w:r>
        <w:rPr>
          <w:i/>
        </w:rPr>
        <w:t xml:space="preserve">Căn cứ Luật Các tổ chức tín dụng số 47/2010/QH12 ngày 16 tháng 6 năm 2010;</w:t>
      </w:r>
      <w:r>
        <w:rPr>
          <w:i/>
        </w:rPr>
        <w:br/>
      </w:r>
      <w:r>
        <w:rPr>
          <w:i/>
        </w:rPr>
        <w:t xml:space="preserve">Căn cứ Nghị định số 96/2008/NĐ-CP ngày 26 tháng 8 năm 2008 của Chính phủ quy định chức năng, nhiệm vụ, quyền hạn và cơ cấu tổ chức của Ngân hàng Nhà nước Việt Nam;</w:t>
      </w:r>
      <w:r>
        <w:rPr>
          <w:i/>
        </w:rPr>
        <w:br/>
      </w:r>
      <w:r>
        <w:rPr>
          <w:i/>
        </w:rPr>
        <w:t xml:space="preserve">Căn cứ Nghị quyết 11/NQ-CP ngày 24 tháng 02 năm 2011 của Chính phủ về những giải pháp chủ yếu tập trung kiểm chế lạm phát, ổn định kinh tế vĩ mô, đảm bảo an sinh xã hội;</w:t>
      </w:r>
      <w:r>
        <w:rPr>
          <w:i/>
        </w:rPr>
        <w:br/>
      </w:r>
      <w:r>
        <w:rPr>
          <w:i/>
        </w:rPr>
        <w:t xml:space="preserve">Ngân hàng Nhà nước Việt Nam quy định áp dụng lãi suất trong trường hợp tổ chức, cá nhân rút tiền gửi trước hạn tại tổ chức tín dụng, chi nhánh ngân hàng nước ngoài (sau đây gọi là tổ chức tín dụng)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Tổ chức tín dụng áp dụng lãi suất tối đa bằng mức lãi suất tiền gửi không kỳ hạn thấp nhất của tổ chức tín dụng theo từng đồng tiền trong trường hợp tổ chức, cá nhân rút tiền gửi trước hạn; mức lãi suất tiền gửi không kỳ hạn này là thấp nhất tại thời điểm tổ chức, cá nhân rút tiền gửi trước hạn. Tiền gửi bao gồm các hình thức tiền gửi tiết kiệm có kỳ hạn, tiền gửi có kỳ hạn, chứng chỉ tiền gửi, kỳ phiếu, trái phiếu và các hình thức nhận tiền gửi khác của tổ chức (trừ tổ chức tín dụng), cá nhân theo quy định tại Khoản 13 Điều 14 Luật Các tổ chức tín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Tổ chức tín dụng niêm yết công khai lãi suất áp dụng trong trường hợp tổ chức, cá nhân rút tiền gửi trước hạn tại các địa điểm huy động vốn (Hội sở chính, sở giao dịch, chi nhánh, phòng giao dịch, quỹ tiết kiệm). Các thỏa thuận lãi suất tiền gửi trước ngày Thông tư này có hiệu lực thi hành, các bên tiếp tục thực hiện theo thỏa thuận đã cam kết cho đến hạn trả; hoặc thỏa thuận thực hiện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1.Thông tư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về lãi suất tại Khoản 4 Điều 1 Quyết định số 47/2006/QĐ-NHNN ngày 25 tháng 9 năm 2006 của Thống đốc Ngân hàng Nhà nước về việc sửa đổi, bổ sung một số điều của Quy chế về tiền gửi tiết kiệm ban hành kèm theo Quyết định số 1160/2004/QĐ-NHNN ngày 13 tháng 9 năm 2004 và các quy định khác trái với Thông tư này hết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3.Chánh Văn phòng, Vụ trưởng Vụ Chính sách tiền tệ và Thủ trưởng các đơn vị thuộc Ngân hàng Nhà nước Việt Nam; Giám đốc Ngân hàng Nhà nước chi nhánh tỉnh, thành phố trực thuộc Trung ương; Chủ tịch Hội đồng quản trị, Tổng Giám đốc (Giám đốc) tổ chức tín dụng và tổ chức, cá nhân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KT. THỐNG ĐỐC</w:t>
      </w:r>
      <w:r>
        <w:rPr>
          <w:b/>
        </w:rPr>
        <w:br/>
      </w:r>
      <w:r>
        <w:rPr>
          <w:b/>
        </w:rPr>
        <w:t xml:space="preserve">PHÓ THỐNG ĐỐC</w:t>
      </w:r>
      <w:r>
        <w:rPr/>
        <w:br/>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Đồng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TƯ VẤN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Pr>
          <w:t xml:space="preserve">1. Tư vấn pháp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8" w:history="1">
        <w:r>
          <w:rPr>
            <w:rStyle w:val="Hyperlink"/>
          </w:rPr>
          <w:t xml:space="preserve">3.</w:t>
        </w:r>
        <w:r>
          <w:rPr>
            <w:rStyle w:val="Hyperlink"/>
          </w:rPr>
          <w:t xml:space="preserve">Tư vấn pháp luật lĩnh vực dân sự;</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9" w:history="1">
        <w:r>
          <w:rPr>
            <w:rStyle w:val="Hyperlink"/>
          </w:rPr>
          <w:t xml:space="preserve">4. Tư vấn luật hành chính Việt Nam;</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0" w:history="1">
        <w:r>
          <w:rPr>
            <w:rStyle w:val="Hyperlink"/>
          </w:rPr>
          <w:t xml:space="preserve">2. Luật sư riêng cho doanh nghiệp;</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1" w:history="1">
        <w:r>
          <w:rPr>
            <w:rStyle w:val="Hyperlink"/>
          </w:rPr>
          <w:t xml:space="preserve">5.Dịch vụ luật sư tư vấn giải quyết tranh chấp tại tòa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12" w:history="1">
        <w:r>
          <w:rPr>
            <w:rStyle w:val="Hyperlink"/>
          </w:rPr>
          <w:t xml:space="preserve">6. Luật sư tư vấn giải quyết tranh chấp hôn nhân gia đình;</w:t>
        </w:r>
      </w:hyperlink>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rieng-cho-to-chuc--doanh-nghiep-.aspx" TargetMode="External" /><Relationship Id="rId11" Type="http://schemas.openxmlformats.org/officeDocument/2006/relationships/hyperlink" Target="/dich-vu-luat-su-bao-chua--tranh-tung-tai-toa-an.aspx" TargetMode="External" /><Relationship Id="rId12" Type="http://schemas.openxmlformats.org/officeDocument/2006/relationships/hyperlink" Target="/luat-su-tu-van-phap-luat-hon-nhan-gia-dinh-truc-tuyen-qua-tong-dai-dien-thoai-.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04-2011-tt-nhnn-quy-dinh-ap-dung-lai-suat.aspx" TargetMode="External" /><Relationship Id="rId6" Type="http://schemas.openxmlformats.org/officeDocument/2006/relationships/hyperlink" Target="/luat-ngan-hang-nha-nuoc-viet-nam-so-46-2010-qh12.aspx" TargetMode="External"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u-van-phap-luat-linh-vuc-dan-su.aspx" TargetMode="External" /><Relationship Id="rId9" Type="http://schemas.openxmlformats.org/officeDocument/2006/relationships/hyperlink" Target="/tu-van-luat-hanh-chinh-viet-nam.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2022-06-22T15:16:05Z</dcterms:created>
  <dcterms:modified xsi:type="dcterms:W3CDTF">2022-06-22T15:16:05Z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2022-06-22T15:16:05Z</dcterms:created>
  <dcterms:modified xsi:type="dcterms:W3CDTF">2022-06-22T15:16:05Z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2022-06-22T15:16:05Z</dcterms:created>
  <dcterms:modified xsi:type="dcterms:W3CDTF">2022-06-22T15:16:05Z</dcterms:modified>
</cp:coreProperties>
</file>