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 - BỘ NỘI VỤ</w:t>
            </w:r>
            <w:r>
              <w:rPr>
                <w:b/>
              </w:rPr>
              <w:br/>
            </w:r>
            <w:r>
              <w:rPr>
                <w:b/>
              </w:rPr>
              <w:t xml:space="preserve">-------</w:t>
            </w:r>
          </w:p>
          <w:p>
            <w:pPr>
              <w:pStyle w:val="Normal(Web)"/>
              <w:divId w:val="2"/>
              <w:jc w:val="center"/>
              <w:rPr>
                <w:vanish w:val="0"/>
              </w:rPr>
            </w:pPr>
            <w:r>
              <w:t xml:space="preserve">Số: </w:t>
            </w:r>
            <w:hyperlink r:id="rId3" w:history="1">
              <w:r>
                <w:rPr>
                  <w:rStyle w:val="Hyperlink"/>
                </w:rPr>
                <w:t xml:space="preserve">36/2014/TTLT-BGDĐT-BNV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28 tháng 11 năm 2014</w:t>
            </w:r>
          </w:p>
        </w:tc>
      </w:tr>
    </w:tbl>
    <w:p>
      <w:pPr>
        <w:pStyle w:val="Normal(Web)"/>
        <w:divId w:val="5"/>
        <w:jc w:val="center"/>
        <w:rPr>
          <w:vanish w:val="0"/>
        </w:rPr>
      </w:pPr>
      <w:r>
        <w:rPr>
          <w:b/>
        </w:rPr>
        <w:t xml:space="preserve">THÔNG TƯ LIÊN TỊCH</w:t>
      </w:r>
    </w:p>
    <w:p>
      <w:pPr>
        <w:pStyle w:val="Normal(Web)"/>
        <w:divId w:val="6"/>
        <w:jc w:val="center"/>
        <w:rPr>
          <w:vanish w:val="0"/>
        </w:rPr>
      </w:pPr>
      <w:r>
        <w:rPr>
          <w:b/>
        </w:rPr>
        <w:t xml:space="preserve">QUY ĐỊNH MÃ SỐ VÀ TIÊU CHUẨN CHỨC DANH NGHỀ NGHIỆP VIÊN CHỨC </w:t>
      </w:r>
    </w:p>
    <w:p>
      <w:pPr>
        <w:pStyle w:val="Normal(Web)"/>
        <w:divId w:val="7"/>
        <w:jc w:val="center"/>
        <w:rPr>
          <w:vanish w:val="0"/>
        </w:rPr>
      </w:pPr>
      <w:r>
        <w:rPr>
          <w:b/>
        </w:rPr>
        <w:t xml:space="preserve">GIẢNG DẠY TRONG CÁC CƠ SỞ GIÁO DỤC ĐẠI HỌC CÔNG LẬP</w:t>
      </w:r>
    </w:p>
    <w:p>
      <w:pPr>
        <w:pStyle w:val="Normal(Web)"/>
        <w:divId w:val="8"/>
        <w:rPr>
          <w:vanish w:val="0"/>
        </w:rPr>
      </w:pPr>
      <w:r>
        <w:rPr>
          <w:i/>
        </w:rPr>
        <w:t xml:space="preserve">Căn cứ Luật Viên chức ngày 15 tháng 11 năm 2010;</w:t>
      </w:r>
    </w:p>
    <w:p>
      <w:pPr>
        <w:pStyle w:val="Normal(Web)"/>
        <w:divId w:val="9"/>
        <w:rPr>
          <w:vanish w:val="0"/>
        </w:rPr>
      </w:pPr>
      <w:r>
        <w:rPr>
          <w:i/>
        </w:rPr>
        <w:t xml:space="preserve">Căn cứ Nghị định số </w:t>
      </w:r>
      <w:hyperlink r:id="rId4" w:history="1">
        <w:r>
          <w:rPr>
            <w:rStyle w:val="Hyperlink"/>
            <w:i/>
          </w:rPr>
          <w:t xml:space="preserve">29/2012/NĐ-CP </w:t>
        </w:r>
      </w:hyperlink>
      <w:r>
        <w:rPr>
          <w:i/>
        </w:rPr>
        <w:t xml:space="preserve"> ngày 12 tháng 4 năm 2012 của Chính phủ quy định về tuyển dụng, sử dụng và quản lý viên chức;</w:t>
      </w:r>
    </w:p>
    <w:p>
      <w:pPr>
        <w:pStyle w:val="Normal(Web)"/>
        <w:divId w:val="10"/>
        <w:rPr>
          <w:vanish w:val="0"/>
        </w:rPr>
      </w:pP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11"/>
        <w:rPr>
          <w:vanish w:val="0"/>
        </w:rPr>
      </w:pPr>
      <w:r>
        <w:rPr>
          <w:i/>
        </w:rPr>
        <w:t xml:space="preserve">Căn cứ Nghị định số </w:t>
      </w:r>
      <w:hyperlink r:id="rId6" w:history="1">
        <w:r>
          <w:rPr>
            <w:rStyle w:val="Hyperlink"/>
            <w:i/>
          </w:rPr>
          <w:t xml:space="preserve">58/2014/NĐ-CP </w:t>
        </w:r>
      </w:hyperlink>
      <w:r>
        <w:rPr>
          <w:i/>
        </w:rPr>
        <w:t xml:space="preserve"> ngày 16 tháng 6 năm 2014 của Chính phủ quy định chức năng, nhiệm vụ, quyền hạn và cơ cấu tổ chức của Bộ Nội vụ;</w:t>
      </w:r>
    </w:p>
    <w:p>
      <w:pPr>
        <w:pStyle w:val="Normal(Web)"/>
        <w:divId w:val="12"/>
        <w:rPr>
          <w:vanish w:val="0"/>
        </w:rPr>
      </w:pPr>
      <w:r>
        <w:rPr>
          <w:i/>
        </w:rPr>
        <w:t xml:space="preserve">Bộ trưởng Bộ Giáo dục và Đào tạo và Bộ trưởng Bộ Nội vụ ban hành Thông tư liên tịch quy định mã số và tiêu chuẩn chức danh nghề nghiệp viên chức giảng dạy trong các cơ sở giáo dục đại học công lập.</w:t>
      </w:r>
    </w:p>
    <w:p>
      <w:pPr>
        <w:pStyle w:val="Normal(Web)"/>
        <w:divId w:val="13"/>
        <w:jc w:val="center"/>
        <w:rPr>
          <w:vanish w:val="0"/>
        </w:rPr>
      </w:pPr>
      <w:r>
        <w:rPr>
          <w:b/>
        </w:rPr>
        <w:t xml:space="preserve">Chương I</w:t>
      </w:r>
    </w:p>
    <w:p>
      <w:pPr>
        <w:pStyle w:val="Normal(Web)"/>
        <w:divId w:val="14"/>
        <w:jc w:val="center"/>
        <w:rPr>
          <w:vanish w:val="0"/>
        </w:rPr>
      </w:pPr>
      <w:r>
        <w:rPr>
          <w:b/>
        </w:rPr>
        <w:t xml:space="preserve">NHỮNG QUY ĐỊNH CHUNG</w:t>
      </w:r>
    </w:p>
    <w:p>
      <w:pPr>
        <w:pStyle w:val="Normal(Web)"/>
        <w:divId w:val="15"/>
        <w:rPr>
          <w:vanish w:val="0"/>
        </w:rPr>
      </w:pPr>
      <w:r>
        <w:rPr>
          <w:b/>
        </w:rPr>
        <w:t xml:space="preserve">Điều 1. Phạm vi điều chỉnh và đối tượng áp dụng</w:t>
      </w:r>
    </w:p>
    <w:p>
      <w:pPr>
        <w:pStyle w:val="Normal(Web)"/>
        <w:divId w:val="16"/>
        <w:rPr>
          <w:vanish w:val="0"/>
        </w:rPr>
      </w:pPr>
      <w:r>
        <w:t xml:space="preserve">1. Thông tư liên tịch này quy định mã số và tiêu chuẩn chức danh nghề nghiệp viên chức giảng dạy trong các cơ sở giáo dục đại học công lập, bao gồm: Đại học quốc gia, đại học vùng, học viện, trường đại học, trường cao đẳng công lập thuộc hệ thống giáo dục quốc dân.</w:t>
      </w:r>
    </w:p>
    <w:p>
      <w:pPr>
        <w:pStyle w:val="Normal(Web)"/>
        <w:divId w:val="17"/>
        <w:rPr>
          <w:vanish w:val="0"/>
        </w:rPr>
      </w:pPr>
      <w:r>
        <w:t xml:space="preserve">2. Thông tư liên tịch này áp dụng đối với viên chức làm công tác giảng dạy trong các cơ sở giáo dục đại học công lập và các tổ chức, cá nhân khác có liên quan.</w:t>
      </w:r>
    </w:p>
    <w:p>
      <w:pPr>
        <w:pStyle w:val="Normal(Web)"/>
        <w:divId w:val="18"/>
        <w:rPr>
          <w:vanish w:val="0"/>
        </w:rPr>
      </w:pPr>
      <w:r>
        <w:rPr>
          <w:b/>
        </w:rPr>
        <w:t xml:space="preserve">Điều 2. Mã số và phân hạng chức danh nghề nghiệp viên chức giảng dạy trong các cơ sở giáo dục đại học công lập</w:t>
      </w:r>
    </w:p>
    <w:p>
      <w:pPr>
        <w:pStyle w:val="Normal(Web)"/>
        <w:divId w:val="19"/>
        <w:rPr>
          <w:vanish w:val="0"/>
        </w:rPr>
      </w:pPr>
      <w:r>
        <w:t xml:space="preserve">Chức danh nghề nghiệp viên chức giảng dạy trong các cơ sở giáo dục đại học công lập bao gồm:</w:t>
      </w:r>
    </w:p>
    <w:p>
      <w:pPr>
        <w:pStyle w:val="Normal(Web)"/>
        <w:divId w:val="20"/>
        <w:rPr>
          <w:vanish w:val="0"/>
        </w:rPr>
      </w:pPr>
      <w:r>
        <w:t xml:space="preserve">1. Giảng viên cao cấp (hạng I) Mã số: V.07.01.01</w:t>
      </w:r>
    </w:p>
    <w:p>
      <w:pPr>
        <w:pStyle w:val="Normal(Web)"/>
        <w:divId w:val="21"/>
        <w:rPr>
          <w:vanish w:val="0"/>
        </w:rPr>
      </w:pPr>
      <w:r>
        <w:t xml:space="preserve">2. Giảng viên chính (hạng II) Mã số: V.07.01.02</w:t>
      </w:r>
    </w:p>
    <w:p>
      <w:pPr>
        <w:pStyle w:val="Normal(Web)"/>
        <w:divId w:val="22"/>
        <w:rPr>
          <w:vanish w:val="0"/>
        </w:rPr>
      </w:pPr>
      <w:r>
        <w:t xml:space="preserve">3. Giảng viên (hạng III) Mã số: V.07.01.03</w:t>
      </w:r>
    </w:p>
    <w:p>
      <w:pPr>
        <w:pStyle w:val="Normal(Web)"/>
        <w:divId w:val="23"/>
        <w:rPr>
          <w:vanish w:val="0"/>
        </w:rPr>
      </w:pPr>
      <w:r>
        <w:rPr>
          <w:b/>
        </w:rPr>
        <w:t xml:space="preserve">Điều 3. Tiêu chuẩn về đạo đức nghề nghiệp của viên chức giảng dạy trong các cơ sở giáo dục đại học công lập</w:t>
      </w:r>
    </w:p>
    <w:p>
      <w:pPr>
        <w:pStyle w:val="Normal(Web)"/>
        <w:divId w:val="24"/>
        <w:rPr>
          <w:vanish w:val="0"/>
        </w:rPr>
      </w:pPr>
      <w:r>
        <w:t xml:space="preserve">Thực hiện theo Quy định về đạo đức nhà giáo ban hành kèm theo Quyết định số 16/2008/QĐ-BGDĐT ngày 16 tháng 4 năm 2008 của Bộ trưởng Bộ Giáo dục và Đào tạo và các quy định hiện hành của pháp luật.</w:t>
      </w:r>
    </w:p>
    <w:p>
      <w:pPr>
        <w:pStyle w:val="Normal(Web)"/>
        <w:divId w:val="25"/>
        <w:jc w:val="center"/>
        <w:rPr>
          <w:vanish w:val="0"/>
        </w:rPr>
      </w:pPr>
      <w:r>
        <w:rPr>
          <w:b/>
        </w:rPr>
        <w:t xml:space="preserve">Chương II</w:t>
      </w:r>
    </w:p>
    <w:p>
      <w:pPr>
        <w:pStyle w:val="Normal(Web)"/>
        <w:divId w:val="26"/>
        <w:jc w:val="center"/>
        <w:rPr>
          <w:vanish w:val="0"/>
        </w:rPr>
      </w:pPr>
      <w:r>
        <w:rPr>
          <w:b/>
        </w:rPr>
        <w:t xml:space="preserve">TIÊU CHUẨN CHỨC DANH NGHỀ NGHIỆP</w:t>
      </w:r>
    </w:p>
    <w:p>
      <w:pPr>
        <w:pStyle w:val="Normal(Web)"/>
        <w:divId w:val="27"/>
        <w:rPr>
          <w:vanish w:val="0"/>
        </w:rPr>
      </w:pPr>
      <w:r>
        <w:rPr>
          <w:b/>
        </w:rPr>
        <w:t xml:space="preserve">Điều 4. Giảng viên cao cấp (hạng I) - Mã số: V.07.01.01</w:t>
      </w:r>
    </w:p>
    <w:p>
      <w:pPr>
        <w:pStyle w:val="Normal(Web)"/>
        <w:divId w:val="28"/>
        <w:rPr>
          <w:vanish w:val="0"/>
        </w:rPr>
      </w:pPr>
      <w:r>
        <w:t xml:space="preserve">1. Nhiệm vụ:</w:t>
      </w:r>
    </w:p>
    <w:p>
      <w:pPr>
        <w:pStyle w:val="Normal(Web)"/>
        <w:divId w:val="29"/>
        <w:rPr>
          <w:vanish w:val="0"/>
        </w:rPr>
      </w:pPr>
      <w:r>
        <w:t xml:space="preserve">a) Giảng dạy trình độ cao đẳng, đại học trở lên; hướng dẫn và chấm đồ án, khóa luận tốt nghiệp cao đẳng, đại học; hướng dẫn luận văn thạc sĩ, luận án tiến sĩ; chủ trì hoặc tham gia các hội đồng đánh giá luận văn thạc sĩ, luận án tiến sĩ;</w:t>
      </w:r>
    </w:p>
    <w:p>
      <w:pPr>
        <w:pStyle w:val="Normal(Web)"/>
        <w:divId w:val="30"/>
        <w:rPr>
          <w:vanish w:val="0"/>
        </w:rPr>
      </w:pPr>
      <w:r>
        <w:t xml:space="preserve">b) Chủ trì xây dựng kế hoạch, nội dung, chương trình đào tạo của chuyên ngành; đề xuất phương hướng, biện pháp phát triển của ngành hoặc chuyên ngành;</w:t>
      </w:r>
    </w:p>
    <w:p>
      <w:pPr>
        <w:pStyle w:val="Normal(Web)"/>
        <w:divId w:val="31"/>
        <w:rPr>
          <w:vanish w:val="0"/>
        </w:rPr>
      </w:pPr>
      <w:r>
        <w:t xml:space="preserve">c) Chủ trì hoặc tham gia biên soạn giáo trình, sách tham khảo, sách chuyên khảo, sách hướng dẫn, biên dịch sách và giáo trình bằng tiếng nước ngoài sang tiếng Việt (sau đây gọi chung là sách phục vụ đào tạo). Chủ động cập nhật thường xuyên những thành tựu khoa học vào việc xây dựng nội dung, chương trình đào tạo; đổi mới phương pháp giảng dạy và phương pháp kiểm tra đánh giá kết quả học tập, rèn luyện của sinh viên;</w:t>
      </w:r>
    </w:p>
    <w:p>
      <w:pPr>
        <w:pStyle w:val="Normal(Web)"/>
        <w:divId w:val="32"/>
        <w:rPr>
          <w:vanish w:val="0"/>
        </w:rPr>
      </w:pPr>
      <w:r>
        <w:t xml:space="preserve">d) Chủ trì hoặc tham gia thực hiện chương trình, đề tài nghiên cứu khoa học; định hướng nghiên cứu khoa học cho tổ, nhóm chuyên môn;</w:t>
      </w:r>
    </w:p>
    <w:p>
      <w:pPr>
        <w:pStyle w:val="Normal(Web)"/>
        <w:divId w:val="33"/>
        <w:rPr>
          <w:vanish w:val="0"/>
        </w:rPr>
      </w:pPr>
      <w:r>
        <w:t xml:space="preserve">đ) Chủ trì hoặc tham gia đánh giá các đề án, đề tài nghiên cứu khoa học; tổ chức và trình bày báo cáo khoa học tại các hội nghị, hội thảo khoa học. Chủ trì hoặc tham gia nghiệm thu và công bố các báo cáo khoa học, các công trình nghiên cứu, trao đổi kinh nghiệm đóng góp vào sự phát triển của bộ môn và chuyên ngành;</w:t>
      </w:r>
    </w:p>
    <w:p>
      <w:pPr>
        <w:pStyle w:val="Normal(Web)"/>
        <w:divId w:val="34"/>
        <w:rPr>
          <w:vanish w:val="0"/>
        </w:rPr>
      </w:pPr>
      <w:r>
        <w:t xml:space="preserve">e) Tham gia các hoạt động hợp tác quốc tế và bảo đảm chất lượng giáo dục đại học;</w:t>
      </w:r>
    </w:p>
    <w:p>
      <w:pPr>
        <w:pStyle w:val="Normal(Web)"/>
        <w:divId w:val="35"/>
        <w:rPr>
          <w:vanish w:val="0"/>
        </w:rPr>
      </w:pPr>
      <w:r>
        <w:t xml:space="preserve">g) Tổ chức hướng dẫn sinh viên nghiên cứu khoa học; hướng dẫn sinh viên phương pháp học tập, nghiên cứu có hiệu quả; phát hiện năng lực sở trường của sinh viên để tổ chức đào tạo, bồi dưỡng tài năng;</w:t>
      </w:r>
    </w:p>
    <w:p>
      <w:pPr>
        <w:pStyle w:val="Normal(Web)"/>
        <w:divId w:val="36"/>
        <w:rPr>
          <w:vanish w:val="0"/>
        </w:rPr>
      </w:pPr>
      <w:r>
        <w:t xml:space="preserve">h) Tổ chức hoạt động tư vấn khoa học, công nghệ, chuyển giao công nghệ phục vụ kinh tế, xã hội, quốc phòng và an ninh;</w:t>
      </w:r>
    </w:p>
    <w:p>
      <w:pPr>
        <w:pStyle w:val="Normal(Web)"/>
        <w:divId w:val="37"/>
        <w:rPr>
          <w:vanish w:val="0"/>
        </w:rPr>
      </w:pPr>
      <w:r>
        <w:t xml:space="preserve">i) Học tập bồi dưỡng nâng cao trình độ chuyên môn, nghiệp vụ;</w:t>
      </w:r>
    </w:p>
    <w:p>
      <w:pPr>
        <w:pStyle w:val="Normal(Web)"/>
        <w:divId w:val="38"/>
        <w:rPr>
          <w:vanish w:val="0"/>
        </w:rPr>
      </w:pPr>
      <w:r>
        <w:t xml:space="preserve">k) Chủ trì hoặc tham gia bồi dưỡng, phát triển đội ngũ giảng viên theo yêu cầu phát triển chuyên môn, nghiệp vụ của bộ môn hoặc chuyên ngành;</w:t>
      </w:r>
    </w:p>
    <w:p>
      <w:pPr>
        <w:pStyle w:val="Normal(Web)"/>
        <w:divId w:val="39"/>
        <w:rPr>
          <w:vanish w:val="0"/>
        </w:rPr>
      </w:pPr>
      <w:r>
        <w:t xml:space="preserve">l) Tham gia công tác quản lý, công tác Đảng, đoàn thể và thực hiện các nhiệm vụ khác được phân công.</w:t>
      </w:r>
    </w:p>
    <w:p>
      <w:pPr>
        <w:pStyle w:val="Normal(Web)"/>
        <w:divId w:val="40"/>
        <w:rPr>
          <w:vanish w:val="0"/>
        </w:rPr>
      </w:pPr>
      <w:r>
        <w:t xml:space="preserve">2. </w:t>
      </w:r>
      <w:r>
        <w:t xml:space="preserve">Tiêu chuẩn về trình độ đào tạo, bồi dưỡng:</w:t>
      </w:r>
    </w:p>
    <w:p>
      <w:pPr>
        <w:pStyle w:val="Normal(Web)"/>
        <w:divId w:val="41"/>
        <w:rPr>
          <w:vanish w:val="0"/>
        </w:rPr>
      </w:pPr>
      <w:r>
        <w:t xml:space="preserve">a) Có bằng tiến sĩ phù hợp với vị trí việc làm, chuyên ngành giảng dạy;</w:t>
      </w:r>
    </w:p>
    <w:p>
      <w:pPr>
        <w:pStyle w:val="Normal(Web)"/>
        <w:divId w:val="42"/>
        <w:rPr>
          <w:vanish w:val="0"/>
        </w:rPr>
      </w:pPr>
      <w:r>
        <w:t xml:space="preserve">b) Có chứng chỉ bồi dưỡng nghiệp vụ sư phạm cho giảng viên;</w:t>
      </w:r>
    </w:p>
    <w:p>
      <w:pPr>
        <w:pStyle w:val="Normal(Web)"/>
        <w:divId w:val="43"/>
        <w:rPr>
          <w:vanish w:val="0"/>
        </w:rPr>
      </w:pPr>
      <w:r>
        <w:t xml:space="preserve">c) Có chứng chỉ bồi dưỡng giảng viên cao cấp (hạng I);</w:t>
      </w:r>
    </w:p>
    <w:p>
      <w:pPr>
        <w:pStyle w:val="Normal(Web)"/>
        <w:divId w:val="44"/>
        <w:rPr>
          <w:vanish w:val="0"/>
        </w:rPr>
      </w:pPr>
      <w:r>
        <w:t xml:space="preserve">d) Có trình độ ngoại ngữ bậc 4 (B2) theo quy định tại Thông tư số </w:t>
      </w:r>
      <w:hyperlink r:id="rId7" w:history="1">
        <w:r>
          <w:rPr>
            <w:rStyle w:val="Hyperlink"/>
          </w:rPr>
          <w:t xml:space="preserve">01/2014/TT-BGDĐT </w:t>
        </w:r>
      </w:hyperlink>
      <w:r>
        <w:t xml:space="preserve"> ngày 24 tháng 01 năm 2014 của Bộ Giáo dục và Đào tạo ban hành Khung năng lực ngoại ngữ 6 bậc dùng cho Việt Nam.</w:t>
      </w:r>
    </w:p>
    <w:p>
      <w:pPr>
        <w:pStyle w:val="Normal(Web)"/>
        <w:divId w:val="45"/>
        <w:rPr>
          <w:vanish w:val="0"/>
        </w:rPr>
      </w:pPr>
      <w:r>
        <w:t xml:space="preserve">Đối với giảng viên dạy ngoại ngữ thì trình độ ngoại ngữ thứ hai phải đạt bậc 4 (B2) theo quy định tại Thông tư số 01/2014/TT-BGDĐT ngày 24 tháng 01 năm 2014 của Bộ Giáo dục và Đào tạo ban hành Khung năng lực ngoại ngữ 6 bậc dùng cho Việt Nam;</w:t>
      </w:r>
    </w:p>
    <w:p>
      <w:pPr>
        <w:pStyle w:val="Normal(Web)"/>
        <w:divId w:val="46"/>
        <w:rPr>
          <w:vanish w:val="0"/>
        </w:rPr>
      </w:pPr>
      <w:r>
        <w:t xml:space="preserve">đ) Có trình độ tin học đạt chuẩn kỹ năng sử dụng công nghệ thông tin cơ bản theo quy định tại Thông tư số </w:t>
      </w:r>
      <w:hyperlink r:id="rId8" w:history="1">
        <w:r>
          <w:rPr>
            <w:rStyle w:val="Hyperlink"/>
          </w:rPr>
          <w:t xml:space="preserve">03/2014/TT-BTTTT </w:t>
        </w:r>
      </w:hyperlink>
      <w:r>
        <w:t xml:space="preserve"> ngày 11 tháng 3 năm 2014 của Bộ Thông tin và Truyền thông quy định Chuẩn kỹ năng sử dụng công nghệ thông tin.</w:t>
      </w:r>
    </w:p>
    <w:p>
      <w:pPr>
        <w:pStyle w:val="Normal(Web)"/>
        <w:divId w:val="47"/>
        <w:rPr>
          <w:vanish w:val="0"/>
        </w:rPr>
      </w:pPr>
      <w:r>
        <w:t xml:space="preserve">3. Tiêu chuẩn về năng lực chuyên môn, nghiệp vụ:</w:t>
      </w:r>
    </w:p>
    <w:p>
      <w:pPr>
        <w:pStyle w:val="Normal(Web)"/>
        <w:divId w:val="48"/>
        <w:rPr>
          <w:vanish w:val="0"/>
        </w:rPr>
      </w:pPr>
      <w:r>
        <w:t xml:space="preserve">a) Có kiến thức chuyên sâu về các môn học được phân công giảng dạy và có kiến thức vững vàng của một số môn học có liên quan trong chuyên ngành đào tạo được giao đảm nhiệm;</w:t>
      </w:r>
    </w:p>
    <w:p>
      <w:pPr>
        <w:pStyle w:val="Normal(Web)"/>
        <w:divId w:val="49"/>
        <w:rPr>
          <w:vanish w:val="0"/>
        </w:rPr>
      </w:pPr>
      <w:r>
        <w:t xml:space="preserve">b) Nắm vững thực tế và xu thế phát triển của công tác đào tạo, nghiên cứu khoa học của chuyên ngành;</w:t>
      </w:r>
    </w:p>
    <w:p>
      <w:pPr>
        <w:pStyle w:val="Normal(Web)"/>
        <w:divId w:val="50"/>
        <w:rPr>
          <w:vanish w:val="0"/>
        </w:rPr>
      </w:pPr>
      <w:r>
        <w:t xml:space="preserve">c) Chủ trì thực hiện ít nhất 02 (hai) đề tài nghiên cứu khoa học cấp cơ sở hoặc 01 (một) đề tài nghiên cứu khoa học cấp cao hơn đã nghiệm thu với kết quả từ đạt yêu cầu trở lên;</w:t>
      </w:r>
    </w:p>
    <w:p>
      <w:pPr>
        <w:pStyle w:val="Normal(Web)"/>
        <w:divId w:val="51"/>
        <w:rPr>
          <w:vanish w:val="0"/>
        </w:rPr>
      </w:pPr>
      <w:r>
        <w:t xml:space="preserve">d) Hướng dẫn ít nhất 02 (hai) học viên đã bảo vệ thành công luận văn thạc sĩ hoặc hướng dẫn ít nhất 01 (một) nghiên cứu sinh đã bảo vệ thành công luận án tiến sĩ.</w:t>
      </w:r>
    </w:p>
    <w:p>
      <w:pPr>
        <w:pStyle w:val="Normal(Web)"/>
        <w:divId w:val="52"/>
        <w:rPr>
          <w:vanish w:val="0"/>
        </w:rPr>
      </w:pPr>
      <w:r>
        <w:t xml:space="preserve">Đối với giảng viên giảng dạy các ngành thuộc nhóm ngành khoa học sức khỏe, hướng dẫn 01 (một) học viên bảo vệ thành công luận văn chuyên khoa cấp II tương đương với hướng dẫn 01 (một) học viên bảo vệ thành công luận văn thạc sĩ.</w:t>
      </w:r>
    </w:p>
    <w:p>
      <w:pPr>
        <w:pStyle w:val="Normal(Web)"/>
        <w:divId w:val="53"/>
        <w:rPr>
          <w:vanish w:val="0"/>
        </w:rPr>
      </w:pPr>
      <w:r>
        <w:t xml:space="preserve">Đối với giảng viên giảng dạy các ngành nghệ thuật có thể thay thế việc hướng dẫn 01 (một) nghiên cứu sinh bằng 01 (một) công trình nghiên cứu, sáng tác được giải thưởng có uy tín trong và ngoài nước.</w:t>
      </w:r>
    </w:p>
    <w:p>
      <w:pPr>
        <w:pStyle w:val="Normal(Web)"/>
        <w:divId w:val="54"/>
        <w:rPr>
          <w:vanish w:val="0"/>
        </w:rPr>
      </w:pPr>
      <w:r>
        <w:t xml:space="preserve">Đối với giảng viên không tham gia hướng dẫn luận văn thạc sĩ, luận án tiến sĩ thì số lượng đề tài nghiên cứu khoa học đã được nghiệm thu phải gấp hai lần số lượng đề tài nghiên cứu khoa học quy định tại Điểm c khoản 3 Điều này;</w:t>
      </w:r>
    </w:p>
    <w:p>
      <w:pPr>
        <w:pStyle w:val="Normal(Web)"/>
        <w:divId w:val="55"/>
        <w:rPr>
          <w:vanish w:val="0"/>
        </w:rPr>
      </w:pPr>
      <w:r>
        <w:t xml:space="preserve">đ) Chủ trì biên soạn ít nhất 02 (hai) sách phục vụ đào tạo được sử dụng trong giảng dạy, đào tạo;</w:t>
      </w:r>
    </w:p>
    <w:p>
      <w:pPr>
        <w:pStyle w:val="Normal(Web)"/>
        <w:divId w:val="56"/>
        <w:rPr>
          <w:vanish w:val="0"/>
        </w:rPr>
      </w:pPr>
      <w:r>
        <w:t xml:space="preserve">e) Có ít nhất 06 (sáu) bài báo khoa học đã được công bố, bao gồm: Bài báo khoa học đã được công bố trên tạp chí khoa học; báo cáo khoa học tại hội nghị, hội thảo khoa học quốc gia, quốc tế được đăng tải trên kỷ yếu hội nghị, hội thảo; kết quả ứng dụng khoa học, công nghệ (sau đây gọi chung là bài báo khoa học);</w:t>
      </w:r>
    </w:p>
    <w:p>
      <w:pPr>
        <w:pStyle w:val="Normal(Web)"/>
        <w:divId w:val="57"/>
        <w:rPr>
          <w:vanish w:val="0"/>
        </w:rPr>
      </w:pPr>
      <w:r>
        <w:t xml:space="preserve">g) Viên chức thăng hạng từ chức danh giảng viên chính (hạng II) lên chức danh giảng viên cao cấp (hạng I) phải có thời gian giữ chức danh giảng viên chính (hạng II) hoặc tương đương tối thiểu là 06 (sáu) năm, trong đó thời gian gần nhất giữ chức danh giảng viên chính (hạng II) tối thiểu là 02 (hai) năm.</w:t>
      </w:r>
    </w:p>
    <w:p>
      <w:pPr>
        <w:pStyle w:val="Normal(Web)"/>
        <w:divId w:val="58"/>
        <w:rPr>
          <w:vanish w:val="0"/>
        </w:rPr>
      </w:pPr>
      <w:r>
        <w:rPr>
          <w:b/>
        </w:rPr>
        <w:t xml:space="preserve">Điều 5. Giảng viên chính (hạng II) - Mã số: V.07.01.02</w:t>
      </w:r>
    </w:p>
    <w:p>
      <w:pPr>
        <w:pStyle w:val="Normal(Web)"/>
        <w:divId w:val="59"/>
        <w:rPr>
          <w:vanish w:val="0"/>
        </w:rPr>
      </w:pPr>
      <w:r>
        <w:t xml:space="preserve">1. Nhiệm vụ:</w:t>
      </w:r>
    </w:p>
    <w:p>
      <w:pPr>
        <w:pStyle w:val="Normal(Web)"/>
        <w:divId w:val="60"/>
        <w:rPr>
          <w:vanish w:val="0"/>
        </w:rPr>
      </w:pPr>
      <w:r>
        <w:t xml:space="preserve">a) Giảng dạy, hướng dẫn và chấm đồ án, khóa luận tốt nghiệp trình độ cao đẳng, đại học;</w:t>
      </w:r>
    </w:p>
    <w:p>
      <w:pPr>
        <w:pStyle w:val="Normal(Web)"/>
        <w:divId w:val="61"/>
        <w:rPr>
          <w:vanish w:val="0"/>
        </w:rPr>
      </w:pPr>
      <w:r>
        <w:t xml:space="preserve">b) Tham gia giảng dạy chương trình đào tạo trình độ thạc sĩ, tiến sĩ và hướng dẫn, đánh giá luận văn thạc sĩ, luận án tiến sĩ nếu có đủ tiêu chuẩn theo quy định;</w:t>
      </w:r>
    </w:p>
    <w:p>
      <w:pPr>
        <w:pStyle w:val="Normal(Web)"/>
        <w:divId w:val="62"/>
        <w:rPr>
          <w:vanish w:val="0"/>
        </w:rPr>
      </w:pPr>
      <w:r>
        <w:t xml:space="preserve">c) Chủ trì hoặc tham gia xây dựng kế hoạch, nội dung, chương trình đào tạo; đề xuất chủ trương, phương hướng và biện pháp phát triển của ngành hoặc chuyên ngành được giao đảm nhiệm;</w:t>
      </w:r>
    </w:p>
    <w:p>
      <w:pPr>
        <w:pStyle w:val="Normal(Web)"/>
        <w:divId w:val="63"/>
        <w:rPr>
          <w:vanish w:val="0"/>
        </w:rPr>
      </w:pPr>
      <w:r>
        <w:t xml:space="preserve">d) Chủ trì hoặc tham gia biên soạn sách phục vụ đào tạo. Chủ động đề xuất các giải pháp nâng cao chất lượng giảng dạy, phương pháp kiểm tra đánh giá kết quả học tập, rèn luyện của sinh viên;</w:t>
      </w:r>
    </w:p>
    <w:p>
      <w:pPr>
        <w:pStyle w:val="Normal(Web)"/>
        <w:divId w:val="64"/>
        <w:rPr>
          <w:vanish w:val="0"/>
        </w:rPr>
      </w:pPr>
      <w:r>
        <w:t xml:space="preserve">đ) Chủ trì hoặc tham gia thực hiện chương trình, đề tài nghiên cứu khoa học. Tham gia đánh giá các đề án, đề tài nghiên cứu khoa học; viết và tham gia báo cáo khoa học tại các hội nghị, hội thảo khoa học;</w:t>
      </w:r>
    </w:p>
    <w:p>
      <w:pPr>
        <w:pStyle w:val="Normal(Web)"/>
        <w:divId w:val="65"/>
        <w:rPr>
          <w:vanish w:val="0"/>
        </w:rPr>
      </w:pPr>
      <w:r>
        <w:t xml:space="preserve">e) Tham gia các hoạt động hợp tác quốc tế và bảo đảm chất lượng giáo dục đại học;</w:t>
      </w:r>
    </w:p>
    <w:p>
      <w:pPr>
        <w:pStyle w:val="Normal(Web)"/>
        <w:divId w:val="66"/>
        <w:rPr>
          <w:vanish w:val="0"/>
        </w:rPr>
      </w:pPr>
      <w:r>
        <w:t xml:space="preserve">g) Tham gia công tác chủ nhiệm lớp, cố vấn học tập; hướng dẫn thảo luận, thực hành, thí nghiệm, thực tập;</w:t>
      </w:r>
    </w:p>
    <w:p>
      <w:pPr>
        <w:pStyle w:val="Normal(Web)"/>
        <w:divId w:val="67"/>
        <w:rPr>
          <w:vanish w:val="0"/>
        </w:rPr>
      </w:pPr>
      <w:r>
        <w:t xml:space="preserve">h) Tham gia hoạt động tư vấn khoa học, công nghệ, chuyển giao công nghệ phục vụ kinh tế, xã hội, quốc phòng và an ninh;</w:t>
      </w:r>
    </w:p>
    <w:p>
      <w:pPr>
        <w:pStyle w:val="Normal(Web)"/>
        <w:divId w:val="68"/>
        <w:rPr>
          <w:vanish w:val="0"/>
        </w:rPr>
      </w:pPr>
      <w:r>
        <w:t xml:space="preserve">i) Học tập bồi dưỡng nâng cao trình độ chuyên môn, nghiệp vụ;</w:t>
      </w:r>
    </w:p>
    <w:p>
      <w:pPr>
        <w:pStyle w:val="Normal(Web)"/>
        <w:divId w:val="69"/>
        <w:rPr>
          <w:vanish w:val="0"/>
        </w:rPr>
      </w:pPr>
      <w:r>
        <w:t xml:space="preserve">k) Tham gia bồi dưỡng giảng viên theo yêu cầu phát triển chuyên môn, nghiệp vụ của bộ môn hoặc chuyên ngành;</w:t>
      </w:r>
    </w:p>
    <w:p>
      <w:pPr>
        <w:pStyle w:val="Normal(Web)"/>
        <w:divId w:val="70"/>
        <w:rPr>
          <w:vanish w:val="0"/>
        </w:rPr>
      </w:pPr>
      <w:r>
        <w:t xml:space="preserve">l) Tham gia công tác quản lý, công tác Đảng, đoàn thể và thực hiện các nhiệm vụ khác được phân công.</w:t>
      </w:r>
    </w:p>
    <w:p>
      <w:pPr>
        <w:pStyle w:val="Normal(Web)"/>
        <w:divId w:val="71"/>
        <w:rPr>
          <w:vanish w:val="0"/>
        </w:rPr>
      </w:pPr>
      <w:r>
        <w:t xml:space="preserve">2. Tiêu chuẩn về trình độ đào tạo, bồi dưỡng:</w:t>
      </w:r>
    </w:p>
    <w:p>
      <w:pPr>
        <w:pStyle w:val="Normal(Web)"/>
        <w:divId w:val="72"/>
        <w:rPr>
          <w:vanish w:val="0"/>
        </w:rPr>
      </w:pPr>
      <w:r>
        <w:t xml:space="preserve">a) Có bằng thạc sĩ trở lên phù hợp với vị trí việc làm, chuyên ngành giảng dạy;</w:t>
      </w:r>
    </w:p>
    <w:p>
      <w:pPr>
        <w:pStyle w:val="Normal(Web)"/>
        <w:divId w:val="73"/>
        <w:rPr>
          <w:vanish w:val="0"/>
        </w:rPr>
      </w:pPr>
      <w:r>
        <w:t xml:space="preserve">b) Có chứng chỉ bồi dưỡng nghiệp vụ sư phạm cho giảng viên;</w:t>
      </w:r>
    </w:p>
    <w:p>
      <w:pPr>
        <w:pStyle w:val="Normal(Web)"/>
        <w:divId w:val="74"/>
        <w:rPr>
          <w:vanish w:val="0"/>
        </w:rPr>
      </w:pPr>
      <w:r>
        <w:t xml:space="preserve">c) Có chứng chỉ bồi dưỡng giảng viên chính (hạng II);</w:t>
      </w:r>
    </w:p>
    <w:p>
      <w:pPr>
        <w:pStyle w:val="Normal(Web)"/>
        <w:divId w:val="75"/>
        <w:rPr>
          <w:vanish w:val="0"/>
        </w:rPr>
      </w:pPr>
      <w:r>
        <w:t xml:space="preserve">d) Có trình độ ngoại ngữ bậc 3 (B1) theo quy định tại Thông tư số 01/2014/TT-BGDĐT ngày 24 tháng 01 năm 2014 của Bộ Giáo dục và Đào tạo ban hành Khung năng lực ngoại ngữ 6 bậc dùng cho Việt Nam.</w:t>
      </w:r>
    </w:p>
    <w:p>
      <w:pPr>
        <w:pStyle w:val="Normal(Web)"/>
        <w:divId w:val="76"/>
        <w:rPr>
          <w:vanish w:val="0"/>
        </w:rPr>
      </w:pPr>
      <w:r>
        <w:t xml:space="preserve">Đối với giảng viên dạy ngoại ngữ thì trình độ ngoại ngữ thứ hai phải đạt bậc 3 (B1) theo quy định tại Thông tư số 01/2014/TT-BGDĐT ngày 24 tháng 01 năm 2014 của Bộ Giáo dục và Đào tạo ban hành Khung năng lực ngoại ngữ 6 bậc dùng cho Việt Nam;</w:t>
      </w:r>
    </w:p>
    <w:p>
      <w:pPr>
        <w:pStyle w:val="Normal(Web)"/>
        <w:divId w:val="77"/>
        <w:rPr>
          <w:vanish w:val="0"/>
        </w:rPr>
      </w:pPr>
      <w:r>
        <w:t xml:space="preserve">đ)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78"/>
        <w:rPr>
          <w:vanish w:val="0"/>
        </w:rPr>
      </w:pPr>
      <w:r>
        <w:t xml:space="preserve">3. Tiêu chuẩn về năng lực chuyên môn, nghiệp vụ:</w:t>
      </w:r>
    </w:p>
    <w:p>
      <w:pPr>
        <w:pStyle w:val="Normal(Web)"/>
        <w:divId w:val="79"/>
        <w:rPr>
          <w:vanish w:val="0"/>
        </w:rPr>
      </w:pPr>
      <w:r>
        <w:t xml:space="preserve">a) Có kiến thức vững vàng về các môn học được phân công giảng dạy và kiến thức cơ bản của một số môn học có liên quan trong chuyên ngành đào tạo được giao đảm nhiệm;</w:t>
      </w:r>
    </w:p>
    <w:p>
      <w:pPr>
        <w:pStyle w:val="Normal(Web)"/>
        <w:divId w:val="80"/>
        <w:rPr>
          <w:vanish w:val="0"/>
        </w:rPr>
      </w:pPr>
      <w:r>
        <w:t xml:space="preserve">b) Nắm vững mục tiêu, kế hoạch, nội dung, chương trình các môn học được phân công đảm nhiệm; nắm bắt yêu cầu thực tiễn đối với chuyên ngành đào tạo;</w:t>
      </w:r>
    </w:p>
    <w:p>
      <w:pPr>
        <w:pStyle w:val="Normal(Web)"/>
        <w:divId w:val="81"/>
        <w:rPr>
          <w:vanish w:val="0"/>
        </w:rPr>
      </w:pPr>
      <w:r>
        <w:t xml:space="preserve">c) Chủ trì thực hiện ít nhất 01 (một) đề tài nghiên cứu khoa học cấp cơ sở hoặc cấp cao hơn đã nghiệm thu với kết quả từ đạt yêu cầu trở lên;</w:t>
      </w:r>
    </w:p>
    <w:p>
      <w:pPr>
        <w:pStyle w:val="Normal(Web)"/>
        <w:divId w:val="82"/>
        <w:rPr>
          <w:vanish w:val="0"/>
        </w:rPr>
      </w:pPr>
      <w:r>
        <w:t xml:space="preserve">d) Chủ trì hoặc tham gia biên soạn ít nhất 01 (một) sách phục vụ đào tạo được sử dụng trong giảng dạy, đào tạo;</w:t>
      </w:r>
    </w:p>
    <w:p>
      <w:pPr>
        <w:pStyle w:val="Normal(Web)"/>
        <w:divId w:val="83"/>
        <w:rPr>
          <w:vanish w:val="0"/>
        </w:rPr>
      </w:pPr>
      <w:r>
        <w:t xml:space="preserve">đ) Có ít nhất 03 (ba) bài báo khoa học đã được công bố;</w:t>
      </w:r>
    </w:p>
    <w:p>
      <w:pPr>
        <w:pStyle w:val="Normal(Web)"/>
        <w:divId w:val="84"/>
        <w:rPr>
          <w:vanish w:val="0"/>
        </w:rPr>
      </w:pPr>
      <w:r>
        <w:t xml:space="preserve">e) Viên chức thăng hạng từ chức danh giảng viên (hạng III) lên chức danh giảng viên chính (hạng II) phải có thời gian giữ chức danh giảng viên (hạng III) hoặc tương đương tối thiểu là 09 (chín) năm đối với người có bằng thạc sĩ, 06 (sáu) năm đối với người có bằng tiến sĩ; trong đó thời gian gần nhất giữ chức danh giảng viên (hạng III) tối thiểu là 02 (hai) năm.</w:t>
      </w:r>
    </w:p>
    <w:p>
      <w:pPr>
        <w:pStyle w:val="Normal(Web)"/>
        <w:divId w:val="85"/>
        <w:rPr>
          <w:vanish w:val="0"/>
        </w:rPr>
      </w:pPr>
      <w:r>
        <w:rPr>
          <w:b/>
        </w:rPr>
        <w:t xml:space="preserve">Điều 6. Giảng viên (hạng III) - Mã số: V.07.01.03</w:t>
      </w:r>
    </w:p>
    <w:p>
      <w:pPr>
        <w:pStyle w:val="Normal(Web)"/>
        <w:divId w:val="86"/>
        <w:rPr>
          <w:vanish w:val="0"/>
        </w:rPr>
      </w:pPr>
      <w:r>
        <w:t xml:space="preserve">1. Nhiệm vụ:</w:t>
      </w:r>
    </w:p>
    <w:p>
      <w:pPr>
        <w:pStyle w:val="Normal(Web)"/>
        <w:divId w:val="87"/>
        <w:rPr>
          <w:vanish w:val="0"/>
        </w:rPr>
      </w:pPr>
      <w:r>
        <w:t xml:space="preserve">a) Giảng dạy, hướng dẫn và chấm đồ án, khóa luận tốt nghiệp trình độ cao đẳng, đại học. Giảng viên trong thời gian làm công tác trợ giảng thực hiện hỗ trợ giảng viên, giảng viên chính, phó giáo sư, giáo sư trong các hoạt động giảng dạy, bao gồm: Chuẩn bị bài giảng, phụ đạo, hướng dẫn bài tập, thảo luận, thí nghiệm, thực hành và chấm bài;</w:t>
      </w:r>
    </w:p>
    <w:p>
      <w:pPr>
        <w:pStyle w:val="Normal(Web)"/>
        <w:divId w:val="88"/>
        <w:rPr>
          <w:vanish w:val="0"/>
        </w:rPr>
      </w:pPr>
      <w:r>
        <w:t xml:space="preserve">b) Tham gia giảng dạy chương trình đào tạo trình độ thạc sĩ, tiến sĩ và hướng dẫn, đánh giá luận văn thạc sĩ, luận án tiến sĩ nếu có đủ tiêu chuẩn theo quy định;</w:t>
      </w:r>
    </w:p>
    <w:p>
      <w:pPr>
        <w:pStyle w:val="Normal(Web)"/>
        <w:divId w:val="89"/>
        <w:rPr>
          <w:vanish w:val="0"/>
        </w:rPr>
      </w:pPr>
      <w:r>
        <w:t xml:space="preserve">c) Tham gia xây dựng kế hoạch, nội dung, chương trình đào tạo; tham gia đổi mới phương pháp giảng dạy, phương pháp kiểm tra đánh giá kết quả học tập, rèn luyện của sinh viên;</w:t>
      </w:r>
    </w:p>
    <w:p>
      <w:pPr>
        <w:pStyle w:val="Normal(Web)"/>
        <w:divId w:val="90"/>
        <w:rPr>
          <w:vanish w:val="0"/>
        </w:rPr>
      </w:pPr>
      <w:r>
        <w:t xml:space="preserve">d) Chủ trì hoặc tham gia biên soạn sách phục vụ đào tạo;</w:t>
      </w:r>
    </w:p>
    <w:p>
      <w:pPr>
        <w:pStyle w:val="Normal(Web)"/>
        <w:divId w:val="91"/>
        <w:rPr>
          <w:vanish w:val="0"/>
        </w:rPr>
      </w:pPr>
      <w:r>
        <w:t xml:space="preserve">đ) Tổ chức và tham gia các hoạt động nghiên cứu khoa học; viết và tham gia báo cáo khoa học tại các hội nghị, hội thảo khoa học; tham gia triển khai các hoạt động chuyển giao công nghệ cho cơ sở sản xuất;</w:t>
      </w:r>
    </w:p>
    <w:p>
      <w:pPr>
        <w:pStyle w:val="Normal(Web)"/>
        <w:divId w:val="92"/>
        <w:rPr>
          <w:vanish w:val="0"/>
        </w:rPr>
      </w:pPr>
      <w:r>
        <w:t xml:space="preserve">e) Tham gia các hoạt động hợp tác quốc tế và bảo đảm chất lượng giáo dục đại học;</w:t>
      </w:r>
    </w:p>
    <w:p>
      <w:pPr>
        <w:pStyle w:val="Normal(Web)"/>
        <w:divId w:val="93"/>
        <w:rPr>
          <w:vanish w:val="0"/>
        </w:rPr>
      </w:pPr>
      <w:r>
        <w:t xml:space="preserve">g) Tham gia công tác chủ nhiệm lớp, cố vấn học tập; hướng dẫn thảo luận, thực hành, thí nghiệm và thực tập;</w:t>
      </w:r>
    </w:p>
    <w:p>
      <w:pPr>
        <w:pStyle w:val="Normal(Web)"/>
        <w:divId w:val="94"/>
        <w:rPr>
          <w:vanish w:val="0"/>
        </w:rPr>
      </w:pPr>
      <w:r>
        <w:t xml:space="preserve">h) Học tập bồi dưỡng nâng cao trình độ chuyên môn, nghiệp vụ;</w:t>
      </w:r>
    </w:p>
    <w:p>
      <w:pPr>
        <w:pStyle w:val="Normal(Web)"/>
        <w:divId w:val="95"/>
        <w:rPr>
          <w:vanish w:val="0"/>
        </w:rPr>
      </w:pPr>
      <w:r>
        <w:t xml:space="preserve">i) Tham gia công tác quản lý, công tác Đảng, đoàn thể và thực hiện các nhiệm vụ khác được phân công.</w:t>
      </w:r>
    </w:p>
    <w:p>
      <w:pPr>
        <w:pStyle w:val="Normal(Web)"/>
        <w:divId w:val="96"/>
        <w:rPr>
          <w:vanish w:val="0"/>
        </w:rPr>
      </w:pPr>
      <w:r>
        <w:t xml:space="preserve">2. Tiêu chuẩn về trình độ đào tạo, bồi dưỡng:</w:t>
      </w:r>
    </w:p>
    <w:p>
      <w:pPr>
        <w:pStyle w:val="Normal(Web)"/>
        <w:divId w:val="97"/>
        <w:rPr>
          <w:vanish w:val="0"/>
        </w:rPr>
      </w:pPr>
      <w:r>
        <w:t xml:space="preserve">a) Có bằng tốt nghiệp đại học trở lên phù hợp với vị trí việc làm, chuyên ngành giảng dạy;</w:t>
      </w:r>
    </w:p>
    <w:p>
      <w:pPr>
        <w:pStyle w:val="Normal(Web)"/>
        <w:divId w:val="98"/>
        <w:rPr>
          <w:vanish w:val="0"/>
        </w:rPr>
      </w:pPr>
      <w:r>
        <w:t xml:space="preserve">b) Có chứng chỉ bồi dưỡng nghiệp vụ sư phạm cho giảng viên;</w:t>
      </w:r>
    </w:p>
    <w:p>
      <w:pPr>
        <w:pStyle w:val="Normal(Web)"/>
        <w:divId w:val="99"/>
        <w:rPr>
          <w:vanish w:val="0"/>
        </w:rPr>
      </w:pPr>
      <w:r>
        <w:t xml:space="preserve">c) Có trình độ ngoại ngữ bậc 2 (A2) theo quy định tại Thông tư số 01/2014/TT-BGDĐT ngày 24 tháng 01 năm 2014 của Bộ Giáo dục và Đào tạo ban hành Khung năng lực ngoại ngữ 6 bậc dùng cho Việt Nam.</w:t>
      </w:r>
    </w:p>
    <w:p>
      <w:pPr>
        <w:pStyle w:val="Normal(Web)"/>
        <w:divId w:val="100"/>
        <w:rPr>
          <w:vanish w:val="0"/>
        </w:rPr>
      </w:pPr>
      <w:r>
        <w:t xml:space="preserve">Đối với giảng viên dạy ngoại ngữ thì trình độ ngoại ngữ thứ hai phải đạt bậc 2 (A2) theo quy định tại Thông tư số 01/2014/TT-BGDĐT ngày 24 tháng 01 năm 2014 của Bộ Giáo dục và Đào tạo ban hành Khung năng lực ngoại ngữ 6 bậc dùng cho Việt Nam;</w:t>
      </w:r>
    </w:p>
    <w:p>
      <w:pPr>
        <w:pStyle w:val="Normal(Web)"/>
        <w:divId w:val="101"/>
        <w:rPr>
          <w:vanish w:val="0"/>
        </w:rPr>
      </w:pPr>
      <w:r>
        <w:t xml:space="preserve">d)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102"/>
        <w:rPr>
          <w:vanish w:val="0"/>
        </w:rPr>
      </w:pPr>
      <w:r>
        <w:t xml:space="preserve">3. Tiêu chuẩn về năng lực chuyên môn, nghiệp vụ:</w:t>
      </w:r>
    </w:p>
    <w:p>
      <w:pPr>
        <w:pStyle w:val="Normal(Web)"/>
        <w:divId w:val="103"/>
        <w:rPr>
          <w:vanish w:val="0"/>
        </w:rPr>
      </w:pPr>
      <w:r>
        <w:t xml:space="preserve">a) Nắm vững kiến thức cơ bản của môn học được phân công giảng dạy và có kiến thức tổng quát về một số môn học có liên quan trong chuyên ngành đào tạo được giao đảm nhiệm;</w:t>
      </w:r>
    </w:p>
    <w:p>
      <w:pPr>
        <w:pStyle w:val="Normal(Web)"/>
        <w:divId w:val="104"/>
        <w:rPr>
          <w:vanish w:val="0"/>
        </w:rPr>
      </w:pPr>
      <w:r>
        <w:t xml:space="preserve">b) Nắm vững mục tiêu, kế hoạch, nội dung, chương trình các môn học được phân công thuộc chuyên ngành đào tạo. Xác định được thực tiễn và xu thế phát triển đào tạo, nghiên cứu của chuyên ngành ở trong và ngoài nước;</w:t>
      </w:r>
    </w:p>
    <w:p>
      <w:pPr>
        <w:pStyle w:val="Normal(Web)"/>
        <w:divId w:val="105"/>
        <w:rPr>
          <w:vanish w:val="0"/>
        </w:rPr>
      </w:pPr>
      <w:r>
        <w:t xml:space="preserve">c) Biên soạn giáo án, tập hợp các tài liệu tham khảo liên quan của bộ môn, chủ trì hoặc tham gia biên soạn giáo trình, sách hướng dẫn bài tập, thực hành, thí nghiệm;</w:t>
      </w:r>
    </w:p>
    <w:p>
      <w:pPr>
        <w:pStyle w:val="Normal(Web)"/>
        <w:divId w:val="106"/>
        <w:rPr>
          <w:vanish w:val="0"/>
        </w:rPr>
      </w:pPr>
      <w:r>
        <w:t xml:space="preserve">d) Có khả năng tham gia nghiên cứu khoa học và tổ chức cho sinh viên nghiên cứu khoa học; ứng dụng, triển khai những kết quả nghiên cứu khoa học, công nghệ vào công tác giáo dục và đào tạo, sản xuất và đời sống;</w:t>
      </w:r>
    </w:p>
    <w:p>
      <w:pPr>
        <w:pStyle w:val="Normal(Web)"/>
        <w:divId w:val="107"/>
        <w:rPr>
          <w:vanish w:val="0"/>
        </w:rPr>
      </w:pPr>
      <w:r>
        <w:t xml:space="preserve">đ) Có phương pháp dạy học hiệu quả, phù hợp với nội dung môn học; giảng dạy đạt yêu cầu trở lên.</w:t>
      </w:r>
    </w:p>
    <w:p>
      <w:pPr>
        <w:pStyle w:val="Normal(Web)"/>
        <w:divId w:val="108"/>
        <w:jc w:val="center"/>
        <w:rPr>
          <w:vanish w:val="0"/>
        </w:rPr>
      </w:pPr>
      <w:r>
        <w:rPr>
          <w:b/>
        </w:rPr>
        <w:t xml:space="preserve">Chương III</w:t>
      </w:r>
    </w:p>
    <w:p>
      <w:pPr>
        <w:pStyle w:val="Normal(Web)"/>
        <w:divId w:val="109"/>
        <w:jc w:val="center"/>
        <w:rPr>
          <w:vanish w:val="0"/>
        </w:rPr>
      </w:pPr>
      <w:r>
        <w:rPr>
          <w:b/>
        </w:rPr>
        <w:t xml:space="preserve">ĐIỀU KHOẢN THI HÀNH</w:t>
      </w:r>
    </w:p>
    <w:p>
      <w:pPr>
        <w:pStyle w:val="Normal(Web)"/>
        <w:divId w:val="110"/>
        <w:rPr>
          <w:vanish w:val="0"/>
        </w:rPr>
      </w:pPr>
      <w:r>
        <w:rPr>
          <w:b/>
        </w:rPr>
        <w:t xml:space="preserve">Điều 7. Hiệu lực thi hành</w:t>
      </w:r>
    </w:p>
    <w:p>
      <w:pPr>
        <w:pStyle w:val="Normal(Web)"/>
        <w:divId w:val="111"/>
        <w:rPr>
          <w:vanish w:val="0"/>
        </w:rPr>
      </w:pPr>
      <w:r>
        <w:t xml:space="preserve">1. Thông tư liên tịch này có hiệu lực thi hành kể từ ngày 01 tháng 02 năm 2015.</w:t>
      </w:r>
    </w:p>
    <w:p>
      <w:pPr>
        <w:pStyle w:val="Normal(Web)"/>
        <w:divId w:val="112"/>
        <w:rPr>
          <w:vanish w:val="0"/>
        </w:rPr>
      </w:pPr>
      <w:r>
        <w:t xml:space="preserve">2. Thông tư liên tịch này thay thế Quyết định số 538/TCCP-TC ngày 18 tháng 12 năm 1995 của Bộ trưởng, Trưởng Ban Tổ chức - Cán bộ Chính phủ về việc thay đổi tên gọi các ngạch công chức giảng dạy và tiêu chuẩn nghiệp vụ các ngạch trong trường đại học, cao đẳng.</w:t>
      </w:r>
    </w:p>
    <w:p>
      <w:pPr>
        <w:pStyle w:val="Normal(Web)"/>
        <w:divId w:val="113"/>
        <w:rPr>
          <w:vanish w:val="0"/>
        </w:rPr>
      </w:pPr>
      <w:r>
        <w:t xml:space="preserve">3. Bãi bỏ tiêu chuẩn nghiệp vụ các ngạch công chức ngành giáo dục và đào tạo giảng dạy ở bậc đại học, cao đẳng quy định tại Quyết định số 202/TCCP-VC ngày 08 tháng 6 năm 1994 của Bộ trưởng, Trưởng ban Tổ chức - Cán bộ Chính phủ về việc ban hành tiêu chuẩn nghiệp vụ các ngạch công chức ngành giáo dục và đào tạo.</w:t>
      </w:r>
    </w:p>
    <w:p>
      <w:pPr>
        <w:pStyle w:val="Normal(Web)"/>
        <w:divId w:val="114"/>
        <w:rPr>
          <w:vanish w:val="0"/>
        </w:rPr>
      </w:pPr>
      <w:r>
        <w:t xml:space="preserve">4. Bãi bỏ các quy định về danh mục ngạch viên chức giảng dạy trong các cơ sở giáo dục đại học công lập thuộc Danh mục các ngạch công chức và ngạch viên chức ban hành kèm theo Quyết định số 78/2004/QĐ-BNV ngày 03 tháng 11 năm 2004 của Bộ trưởng Bộ Nội vụ.</w:t>
      </w:r>
    </w:p>
    <w:p>
      <w:pPr>
        <w:pStyle w:val="Normal(Web)"/>
        <w:divId w:val="115"/>
        <w:rPr>
          <w:vanish w:val="0"/>
        </w:rPr>
      </w:pPr>
      <w:r>
        <w:rPr>
          <w:b/>
        </w:rPr>
        <w:t xml:space="preserve">Điều 8. Tổ chức thực hiện</w:t>
      </w:r>
    </w:p>
    <w:p>
      <w:pPr>
        <w:pStyle w:val="Normal(Web)"/>
        <w:divId w:val="116"/>
        <w:rPr>
          <w:vanish w:val="0"/>
        </w:rPr>
      </w:pPr>
      <w:r>
        <w:t xml:space="preserve">1. Thông tư liên tịch này là căn cứ để thực hiện việc tuyển dụng, sử dụng và quản lý viên chức giảng dạy trong các cơ sở giáo dục đại học công lập.</w:t>
      </w:r>
    </w:p>
    <w:p>
      <w:pPr>
        <w:pStyle w:val="Normal(Web)"/>
        <w:divId w:val="117"/>
        <w:rPr>
          <w:vanish w:val="0"/>
        </w:rPr>
      </w:pPr>
      <w:r>
        <w:t xml:space="preserve">2. Các cơ sở giáo dục đại học ngoài công lập có thể vận dụng quy định tại Thông tư liên tịch này để tuyển dụng, sử dụng và quản lý đội ngũ giảng viên tại cơ sở.</w:t>
      </w:r>
    </w:p>
    <w:p>
      <w:pPr>
        <w:pStyle w:val="Normal(Web)"/>
        <w:divId w:val="118"/>
        <w:rPr>
          <w:vanish w:val="0"/>
        </w:rPr>
      </w:pPr>
      <w:r>
        <w:rPr>
          <w:b/>
        </w:rPr>
        <w:t xml:space="preserve">Điều 9. Trách nhiệm thi hành</w:t>
      </w:r>
    </w:p>
    <w:p>
      <w:pPr>
        <w:pStyle w:val="Normal(Web)"/>
        <w:divId w:val="119"/>
        <w:rPr>
          <w:vanish w:val="0"/>
        </w:rPr>
      </w:pPr>
      <w:r>
        <w:t xml:space="preserve">1. Bộ trưởng, Thủ trưởng cơ quan ngang Bộ, Thủ trưởng cơ quan thuộc Chính phủ; Chủ tịch Ủy ban nhân dân tỉnh, thành phố trực thuộc Trung ương có trách nhiệm thực hiện Thông tư liên tịch này.</w:t>
      </w:r>
    </w:p>
    <w:p>
      <w:pPr>
        <w:pStyle w:val="Normal(Web)"/>
        <w:divId w:val="120"/>
        <w:rPr>
          <w:vanish w:val="0"/>
        </w:rPr>
      </w:pPr>
      <w:r>
        <w:t xml:space="preserve">2. Trong quá trình thực hiện nếu có vướng mắc, đề nghị phản ánh về Bộ Giáo dục và Đào tạo để tổng hợp và chủ trì, phối hợp với Bộ Nội vụ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1"/>
              <w:jc w:val="center"/>
              <w:rPr>
                <w:vanish w:val="0"/>
              </w:rPr>
            </w:pPr>
            <w:r>
              <w:rPr>
                <w:b/>
              </w:rPr>
              <w:t xml:space="preserve">KT. BỘ TRƯỞNG</w:t>
            </w:r>
            <w:r>
              <w:rPr>
                <w:b/>
              </w:rPr>
              <w:br/>
            </w:r>
            <w:r>
              <w:rPr>
                <w:b/>
              </w:rPr>
              <w:t xml:space="preserve">BỘ NỘI VỤ</w:t>
            </w:r>
            <w:r>
              <w:rPr>
                <w:b/>
              </w:rPr>
              <w:br/>
            </w:r>
            <w:r>
              <w:rPr>
                <w:b/>
              </w:rPr>
              <w:t xml:space="preserve">THỨ TRƯỞNG</w:t>
            </w:r>
            <w:r>
              <w:rPr>
                <w:b/>
              </w:rPr>
              <w:br/>
            </w:r>
            <w:r>
              <w:rPr>
                <w:b/>
              </w:rPr>
              <w:br/>
            </w:r>
            <w:r>
              <w:rPr>
                <w:b/>
              </w:rPr>
              <w:br/>
            </w:r>
            <w:r>
              <w:rPr>
                <w:b/>
              </w:rPr>
              <w:br/>
            </w:r>
            <w:r>
              <w:rPr>
                <w:b/>
              </w:rPr>
              <w:br/>
            </w:r>
            <w:r>
              <w:rPr>
                <w:b/>
              </w:rPr>
              <w:t xml:space="preserve">Trần Anh Tuấn</w:t>
            </w:r>
          </w:p>
        </w:tc>
        <w:tc>
          <w:tcPr>
            <w:tcW w:w="0" w:type="auto"/>
            <w:shd w:val="clear" w:color="auto" w:fill="auto"/>
            <w:vAlign w:val="center"/>
          </w:tcPr>
          <w:p>
            <w:pPr>
              <w:pStyle w:val="Normal(Web)"/>
              <w:divId w:val="122"/>
              <w:jc w:val="center"/>
              <w:rPr>
                <w:vanish w:val="0"/>
              </w:rPr>
            </w:pPr>
            <w:r>
              <w:rPr>
                <w:b/>
              </w:rPr>
              <w:t xml:space="preserve">KT. BỘ TRƯỞNG</w:t>
            </w:r>
            <w:r>
              <w:rPr>
                <w:b/>
              </w:rPr>
              <w:br/>
            </w:r>
            <w:r>
              <w:rPr>
                <w:b/>
              </w:rPr>
              <w:t xml:space="preserve">BỘ GIÁO DỤC VÀ ĐÀO TẠO</w:t>
            </w:r>
            <w:r>
              <w:rPr>
                <w:b/>
              </w:rPr>
              <w:br/>
            </w:r>
            <w:r>
              <w:rPr>
                <w:b/>
              </w:rPr>
              <w:t xml:space="preserve">THỨ TRƯỞNG</w:t>
            </w:r>
            <w:r>
              <w:rPr>
                <w:b/>
              </w:rPr>
              <w:br/>
            </w:r>
            <w:r>
              <w:rPr>
                <w:b/>
              </w:rPr>
              <w:br/>
            </w:r>
            <w:r>
              <w:rPr>
                <w:b/>
              </w:rPr>
              <w:br/>
            </w:r>
            <w:r>
              <w:rPr>
                <w:b/>
              </w:rPr>
              <w:br/>
            </w:r>
            <w:r>
              <w:rPr>
                <w:b/>
              </w:rPr>
              <w:br/>
            </w:r>
            <w:r>
              <w:rPr>
                <w:b/>
              </w:rPr>
              <w:t xml:space="preserve">Bùi Văn Ga</w:t>
            </w:r>
          </w:p>
        </w:tc>
      </w:tr>
      <w:tr>
        <w:trPr>
          <w:jc w:val="left"/>
        </w:trPr>
        <w:tc>
          <w:tcPr>
            <w:tcW w:w="0" w:type="auto"/>
            <w:hMerge w:val="restart"/>
            <w:shd w:val="clear" w:color="auto" w:fill="auto"/>
            <w:vAlign w:val="center"/>
          </w:tcPr>
          <w:p>
            <w:pPr>
              <w:pStyle w:val="Normal(Web)"/>
              <w:divId w:val="123"/>
              <w:rPr>
                <w:vanish w:val="0"/>
              </w:rPr>
            </w:pPr>
            <w:r>
              <w:rPr>
                <w:b/>
                <w:i/>
              </w:rPr>
              <w:t xml:space="preserve">Nơi nhận:</w:t>
            </w:r>
            <w:r>
              <w:rPr>
                <w:b/>
                <w:i/>
              </w:rPr>
              <w:br/>
            </w:r>
            <w:r>
              <w:rPr>
                <w:b/>
                <w:i/>
              </w:rPr>
              <w:t xml:space="preserve"> </w:t>
            </w:r>
            <w:r>
              <w:t xml:space="preserve">- Thủ tướng, các Phó Thủ tướng Chính phủ;</w:t>
            </w:r>
            <w:r>
              <w:rPr/>
              <w:br/>
            </w:r>
            <w:r>
              <w:t xml:space="preserve">- Các Bộ, cơ quan ngang Bộ, cơ quan thuộc Chính phủ;</w:t>
            </w:r>
            <w:r>
              <w:rPr/>
              <w:br/>
            </w:r>
            <w:r>
              <w:t xml:space="preserve">- Văn phòng Chính phủ;</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Văn phòng Quốc hội;</w:t>
            </w:r>
            <w:r>
              <w:rPr/>
              <w:br/>
            </w:r>
            <w:r>
              <w:t xml:space="preserve">- Kiểm toán Nhà nước;</w:t>
            </w:r>
            <w:r>
              <w:rPr/>
              <w:br/>
            </w:r>
            <w:r>
              <w:t xml:space="preserve">- UBTW Mặt trận Tổ quốc Việt Nam;</w:t>
            </w:r>
            <w:r>
              <w:rPr/>
              <w:br/>
            </w:r>
            <w:r>
              <w:t xml:space="preserve">- Cơ quan Trung ương các đoàn thể;</w:t>
            </w:r>
            <w:r>
              <w:rPr/>
              <w:br/>
            </w:r>
            <w:r>
              <w:t xml:space="preserve">- Công báo; Website Chính phủ;</w:t>
            </w:r>
            <w:r>
              <w:rPr/>
              <w:br/>
            </w:r>
            <w:r>
              <w:t xml:space="preserve">- Cục Kiểm tra văn bản quy phạm pháp luật (Bộ Tư pháp);</w:t>
            </w:r>
            <w:r>
              <w:rPr/>
              <w:br/>
            </w:r>
            <w:r>
              <w:t xml:space="preserve">- HĐND, UBND các tỉnh, thành phố trực thuộc TW;</w:t>
            </w:r>
            <w:r>
              <w:rPr/>
              <w:br/>
            </w:r>
            <w:r>
              <w:t xml:space="preserve">- Bộ trưởng, Thứ trưởng và các Vụ, Cục, tổ chức thuộc Bộ GD&amp;ĐT và Bộ Nội vụ;</w:t>
            </w:r>
            <w:r>
              <w:rPr/>
              <w:br/>
            </w:r>
            <w:r>
              <w:t xml:space="preserve">- Sở GD&amp;ĐT, Sở Nội vụ các tỉnh, thành phố trực thuộc TW;</w:t>
            </w:r>
            <w:r>
              <w:rPr/>
              <w:br/>
            </w:r>
            <w:r>
              <w:t xml:space="preserve">- Các cơ sở giáo dục đại học công lập;</w:t>
            </w:r>
            <w:r>
              <w:rPr/>
              <w:br/>
            </w:r>
            <w:r>
              <w:t xml:space="preserve">- Cổng thông tin điện tử của Bộ GD&amp;ĐT, Bộ Nội vụ;</w:t>
            </w:r>
            <w:r>
              <w:rPr/>
              <w:br/>
            </w:r>
            <w:r>
              <w:t xml:space="preserve">- Lưu: Bộ GD&amp;ĐT (VT, Cục NGCBQLGD); Bộ Nội vụ (VT, Vụ CCVC).</w:t>
            </w:r>
          </w:p>
        </w:tc>
        <w:tc>
          <w:tcPr>
            <w:tcW w:w="0" w:type="auto"/>
            <w:hMerge/>
            <w:shd w:val="clear" w:color="auto" w:fill="auto"/>
            <w:vAlign w:val="center"/>
          </w:tcPr>
          <w:p>
            <w:pP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36-2014-ttlt-bgddt-bnv-cua-bo-giao-duc-va-dao-tao-bo-noi-vu---quy-dinh-ma-so-va-tieu-chuan-chuc-danh-nghe-nghiep-vien-chuc-giang-day-trong-cac-co-so-giao-duc-dai-hoc-cong-lap.aspx" TargetMode="External" /><Relationship Id="rId4" Type="http://schemas.openxmlformats.org/officeDocument/2006/relationships/hyperlink" Target="/nghi-dinh-so-29-2012-nd-cp-ve-tuyen-dung-su-dung-va-quan-ly-vien-chuc.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58-2014-nd-cp-cua-chinh-phu---quy-dinh-chuc-nang--nhiem-vu--quyen-han-va-co-cau-to-chuc-cua-bo-noi-vu.aspx" TargetMode="External" /><Relationship Id="rId7" Type="http://schemas.openxmlformats.org/officeDocument/2006/relationships/hyperlink" Target="/thong-tu-so-01-2014-tt-bgddt-cua-bo-giao-duc-va-dao-tao---ban-hanh-khung-nang-luc-ngoai-ngu-6-bac-dung-cho-viet-nam.aspx" TargetMode="External" /><Relationship Id="rId8" Type="http://schemas.openxmlformats.org/officeDocument/2006/relationships/hyperlink" Target="/thong-tu-so-03-2014-tt-btttt-cua-bo-thong-tin-va-truyen-thong---quy-dinh-chuan-ky-nang-su-dung-cong-nghe-thong-ti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2022-06-21T17:32:44Z</dcterms:created>
  <dcterms:modified xsi:type="dcterms:W3CDTF">2022-06-21T17:32:44Z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2022-06-21T17:32:44Z</dcterms:created>
  <dcterms:modified xsi:type="dcterms:W3CDTF">2022-06-21T17:32:44Z</dcterms:modified>
</cp:coreProperties>
</file>