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19/2013/TT-BXD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chuẩn kỹ thuật quốc gia về phương tiện quảng cáo ngoài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Quảng cáo ngày 21/6/2012;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62/2013/NĐ-CP </w:t>
        </w:r>
      </w:hyperlink>
      <w:r>
        <w:rPr>
          <w:i/>
        </w:rPr>
        <w:t xml:space="preserve"> ngày 25/6/2013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127/2007/NĐ-CP </w:t>
        </w:r>
      </w:hyperlink>
      <w:r>
        <w:rPr>
          <w:i/>
        </w:rPr>
        <w:t xml:space="preserve"> ngày 01/8/2007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ban hành Thông tư ban hành Quy chuẩn kỹ thuật quốc gia về “Phương tiện quảng cáo ngoài trời”, mã số QCVN 17: 2013/BXD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Quy chuẩn kỹ thuật quốc gia về </w:t>
      </w:r>
      <w:r>
        <w:rPr>
          <w:i/>
        </w:rPr>
        <w:t xml:space="preserve">“Phương tiện quảng cáo ngoài trời”,</w:t>
      </w:r>
      <w:r>
        <w:t xml:space="preserve">mã số QCVN 17:2013/BXD.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Thông tư này có hiệu lực thi hành kể từ ngày 01/5/2014.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trưởng, Thủ trưởng cơ quan ngang Bộ, cơ quan thuộc Chính phủ, Chủ tịch Ủy ban nhân dân các tỉnh, thành phố trực thuộc Trung ương và các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Nghị</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2013-tt-bxd.aspx" TargetMode="External" /><Relationship Id="rId4" Type="http://schemas.openxmlformats.org/officeDocument/2006/relationships/hyperlink" Target="/nghi-dinh-so-62-2013-nd-cp-cua-chinh-phu---quy-dinh-chuc-nang--nhiem-vu--quyen-han-va-co-cau-to-chuc-cua-bo-xay-dung.aspx" TargetMode="External" /><Relationship Id="rId5" Type="http://schemas.openxmlformats.org/officeDocument/2006/relationships/hyperlink" Target="/nghi-dinh-so-127-2007-nd-cp-cua-chinh-phu---quy-dinh-chi-tiet-thi-hanh-mot-so-dieu-cua-luat-tieu-chuan-va-quy-chuan-ky-thu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2022-06-22T11:05:42Z</dcterms:created>
  <dcterms:modified xsi:type="dcterms:W3CDTF">2022-06-22T11:05:42Z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2022-06-22T11:05:42Z</dcterms:created>
  <dcterms:modified xsi:type="dcterms:W3CDTF">2022-06-22T11:05:42Z</dcterms:modified>
</cp:coreProperties>
</file>