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1"/>
              <w:jc w:val="center"/>
              <w:rPr>
                <w:vanish w:val="0"/>
              </w:rPr>
            </w:pPr>
            <w:r>
              <w:rPr>
                <w:b/>
              </w:rPr>
              <w:t xml:space="preserve">BỘ Y TẾ</w:t>
            </w:r>
          </w:p>
          <w:p>
            <w:pPr>
              <w:pStyle w:val="Normal(Web)"/>
              <w:divId w:val="2"/>
              <w:jc w:val="center"/>
              <w:rPr>
                <w:vanish w:val="0"/>
              </w:rPr>
            </w:pPr>
            <w:r>
              <w:t xml:space="preserve">Số: 07/2012/TT-BYT 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righ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divId w:val="3"/>
              <w:rPr>
                <w:vanish w:val="0"/>
              </w:rPr>
            </w:pPr>
            <w:r>
              <w:rPr>
                <w:b/>
              </w:rPr>
              <w:t xml:space="preserve">CỘNG HOÀ XÃ HỘI CHỦ NGHĨA VIỆT NAM</w:t>
            </w:r>
          </w:p>
          <w:p>
            <w:pPr>
              <w:pStyle w:val="Normal(Web)"/>
              <w:divId w:val="4"/>
              <w:rPr>
                <w:vanish w:val="0"/>
              </w:rPr>
            </w:pPr>
            <w:r>
              <w:rPr>
                <w:b/>
              </w:rPr>
              <w:t xml:space="preserve">Độc lập - Tự do - Hạnh phúc</w:t>
            </w:r>
          </w:p>
          <w:p>
            <w:pPr>
              <w:pStyle w:val="Normal(Web)"/>
              <w:divId w:val="5"/>
              <w:rPr>
                <w:vanish w:val="0"/>
              </w:rPr>
            </w:pPr>
            <w:r>
              <w:rPr>
                <w:i/>
              </w:rPr>
              <w:t xml:space="preserve">Hà Nội, ngày 14 tháng 5 năm 2012</w:t>
            </w:r>
          </w:p>
        </w:tc>
      </w:tr>
    </w:tbl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THÔNG TƯ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Danh mục vi sinh vật gây bệnh truyền nhiễm theo nhóm nguy cơ và 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cấp độ an toàn sinh học phù hợp kỹ thuật xét nghiệm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rPr>
          <w:b/>
        </w:rPr>
        <w:t xml:space="preserve">__________________________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Căn cứ Nghị định số 188/2007/NĐ-CP ngày 27 tháng 12 năm 2007 của Chính phủ quy định chức năng, nhiệm vụ, quyền hạn và cơ cấu tổ chức của Bộ Y tế;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Căn cứ Luật Phòng, chống bệnh truyền nhiễm ngày 21 tháng 11 năm 2007;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Căn cứ Nghị định số 92/2010/NĐ-CP ngày 30 tháng 8 năm 2010 của Chính phủ quy định chi tiếtLuật Phòng, chống bệnh truyền nhiễm về bảo đảm an toàn sinh học tại phòng xét nghiệm;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Xét đề nghị của Cục trưởng Cục Y tế dự phòng, Bộ trưởng Bộ Y tế ban hành "Danh mục vi sinh vật gây bệnh truyền nhiễm theo nhóm nguy cơ và cấp độ an toàn sinh học phù hợp kỹ thuật xét nghiệm" như sau: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Điều 1. Ban hành kèm theo Thông tư này: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1. Danh mục vi sinh vật gây bệnh truyền nhiễm theo nhóm nguy cơ;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2. Cấp độ an toàn sinh học phù hợp kỹ thuật xét nghiệm.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Điều 2. Thông tư này có hiệu lực thi hành kể từ ngày 01 tháng 8 năm 2012.</w:t>
      </w:r>
    </w:p>
    <w:p>
      <w:pPr>
        <w:pStyle w:val="Normal(Web)"/>
        <w:divId w:val="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 </w:t>
      </w:r>
      <w:r>
        <w:t xml:space="preserve">Trong quá trình thực hiện nếu có vấn đề vướng mắc, đề nghị các tổ chức, cá nhân kịp thời phản ánh về Bộ Y tế (Cục Y tế dự phòng) để xem xét, giải quyết./.</w:t>
      </w:r>
    </w:p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KT. BỘ TRƯỞNG </w:t>
            </w:r>
            <w:r>
              <w:rPr/>
              <w:br/>
            </w:r>
            <w:r>
              <w:t xml:space="preserve">Thứ trưởng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i/>
              </w:rPr>
              <w:t xml:space="preserve">(Đã ký)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t xml:space="preserve">Nguyễn Thanh Long</w:t>
            </w:r>
          </w:p>
        </w:tc>
      </w:tr>
    </w:tbl>
    <w:p>
      <w:pPr/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2022-06-21T16:26:52Z</dcterms:created>
  <dcterms:modified xsi:type="dcterms:W3CDTF">2022-06-21T16:26:52Z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2022-06-21T16:26:52Z</dcterms:created>
  <dcterms:modified xsi:type="dcterms:W3CDTF">2022-06-21T16:26:52Z</dcterms:modified>
</cp:coreProperties>
</file>