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XÂYDỰNG SỐ </w:t>
      </w:r>
      <w:hyperlink r:id="rId3" w:history="1">
        <w:r>
          <w:rPr>
            <w:rStyle w:val="Hyperlink"/>
            <w:b/>
          </w:rPr>
          <w:t xml:space="preserve">17/2008/TT-BXD </w:t>
        </w:r>
      </w:hyperlink>
      <w:r>
        <w:rPr>
          <w:b/>
        </w:rPr>
        <w:t xml:space="preserve"> NGÀY 02 THÁNG 10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MỘT SỐ NỘI DUNG LẬP VÀ QUẢN LÝ CHI PHÍĐẦU TƯ XÂY DỰNG </w:t>
      </w:r>
      <w:r>
        <w:rPr>
          <w:b/>
        </w:rPr>
        <w:t xml:space="preserve">CÔNG TRÌNH THUỶ ĐIỆNTHEO </w:t>
      </w:r>
      <w:r>
        <w:rPr>
          <w:b/>
        </w:rPr>
        <w:t xml:space="preserve">CƠ CHẾ 797 - 400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17/2008/NĐ-CP </w:t>
        </w:r>
      </w:hyperlink>
      <w:r>
        <w:t xml:space="preserve"> ngày 04/02/2008 của Chính phủ quyđịnh chức năng, nhiệm vụ, quyền hạn và cơ cấu tổ chức của Bộ Xây dựng;</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w:t>
      </w:r>
      <w:r>
        <w:t xml:space="preserve">văn bản số 797/CP-CN ngày 17/6/2003 và số 400/CP-CN ngày 26/3/2004 của Thủ tướng Chính phủ về cơ chế đối với các dự án thuỷ điệnkhởi công năm 2003 đến năm 2005 (sau đây viết tắt là cơ chế 797 - 400).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hướng dẫn một số nội dung lậpvà quản lý chi phí đầu tư xây dựng công trình thủy điện thực hiện theo cơ chế797 - 400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nàyhướng dẫn lập và quản lý chi phí trực tiếp khác trong dự toán xây dựng côngtrình;</w:t>
      </w:r>
      <w:r>
        <w:t xml:space="preserve"> chi phí chung và thu nhậpchịu thuế tính trước trong giá vật liệu khai thác tại các Dự án thuỷ điện; chiphí vận chuyển vật liệu đến hiện trường xây dựng; định mức gia công, lắp dựng,tháo dỡ ván khuôn tấm lớn công trình thuỷ công, chi phí xây dựng nhà ở tạm củacông nhân xây dựng của các dự án</w:t>
      </w:r>
      <w:r>
        <w:t xml:space="preserve"> thuỷ điện thực hiện theo cơ chế 797 - 400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mục chi phí ngoài các khoản mục chiphí nêu trên trong Tổng mức đầu tư, tổng dự toán, dự toán của các dự án </w:t>
      </w:r>
      <w:r>
        <w:t xml:space="preserve">thực hiện theo cơ chế 797 - 400</w:t>
      </w:r>
      <w:r>
        <w:t xml:space="preserve">đượcthực hiện theo các quy định của Nhà nước tương ứng với 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lập và quản lý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và quản lý chi phí đầu tư xây dựng công trình thuỷ điện </w:t>
      </w:r>
      <w:r>
        <w:t xml:space="preserve">thực hiện theo cơ chế 797 - 400</w:t>
      </w:r>
      <w:r>
        <w:t xml:space="preserve"> phải đảm bảo mục tiêu, hiệu quả đầu tư, đồngthời phải đảm bảo tính khả thi của dự án đầu tư xây dựng công trình, đảm bảotính đúng, tính đủ, hợp lý, phù hợp với điều kiện thực tế và yêu cầu khách quancủa từng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trực tiếp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Nội dung của chi phí trực tiếp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chi phí chonhững công tác cần thiết phục vụ trực tiếp việc thi công xây dựng công trìnhnhư di chuyển lực lượng lao động trong nội bộ công trường, an toàn lao động,bảo vệ môi trường cho người lao động và môi trường xung quanh, chi phí bơmnước, vét bùn, thí nghiệm vật liệu,... không xác định được khối lượng từ thiếtkế. Mức chi phí trực tiếp khác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Công tác xây dựng trong hầm thì chi phítrực tiếp khác (kể cả chi phí vận hành, chi phí sửa chữa thường xuyên hệ thốngcấp nước, thoát nước, cấp gió, cấp điện, giao thông phục vụ thi công trong hầm)được tính bằng 6,5% trên tổng chi phí vật liệu, chi phí nhân công, chi phí máythi công trong dự toán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Đối với công tác thi công ngoài hầm(ngoài hở) thì chi phí trực tiếp khác được tính bằng 2% đối với công trìnhchính và 1,5% cho công trình tạm phục vụ thi công trên tổng chi phí vật liệu,chi phí nhân công, chi phí máy thi công trong dự toán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chi phí không thuộc chi phí trực tiếpkhác (xác định bằng lập dự toán chi phí theo theo thiết kế, quy mô, đề cươngthí nghiệm, phương án vận chuyển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đầu tư ban đầu hệ thống nước kỹthuật để thi công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đầu tư ban đầu cho hệ thống thônggió, chiếu sáng, hệ thống điện, cấp thoát nước, giao thông phục vụ thi côngtrong hầm đối với các công tác thi công trong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đầu tư ban đầu cho công tác bơmnước, vét bùn, bơm thoát nước hố móng ngay sau khi ngăn sông, chống lũ, hệthống điện 0,4kv phục vụ thi công;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bơm thoát nước hố móng ngay sau khingăn sông, chống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di chuyển lực lượng thi công đếncông trình; chi phí tháo dỡ, vận chuyển và lắp đặt cần trục tháp trong nội bộcông trường; duy tu bảo dưỡng hệ thống giao thông phục vụ thi công trong côngtrường; chi phí vận hành hệ thống điện tính từ điểm đấu nối hệ thống điện côngtrình đến trạm hạ thế cuối cùng của công trình (điểm đặt công tơ đo đếm để muađiện);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xử lý rác thải, nước thải, cho khunhà ở tạm tại công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thí nghiệm tăng thêm của thí nghiệmthi công bê tông đầm lăn (RCC).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chung và thu nhập chịu thuế tínhtrước trong giá vật liệu khai thác tại các dự án thuỷ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nhữngloại vật liệu như: Cát, đá, đất dính và vật liệu làm lớp lọc được các đơn vịthi công khai thác, sản xuất ra thành phẩm để phục vụ thi công công trình thìđược phép áp dụng tỷ lệ chi phí chung và thu nhập chịu thuế tính trước hợp lýđể tính vào giá bán sản phẩm. Tỷ lệ cụ thể chi phí chung và thu nhập chịu thuếtính trước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chung tính bằng 2,5% trên chi phímáy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chịu thuế tính trước tính bằng 3%trên chi phí trực tiếp và chi phí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tổng hợp dự toán chi phí sản xuất vậtliệu như phụ lục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công trình đã được Chủ đầutư và Nhà thầu thoả thuận giá trước khi thực hiện khai thác thì không áp dụnghướng dẫn của Khoản 2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chi phí vận chuyển vật liệu đếnhiện trường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xác định chiphí vận chuyển phù hợp với sự biến động giá nhiên liệu theo cơ chế thị trườngthì chi phí vận chuyển phải căn cứ vào chủng loại vật liệu, phương án vậnchuyển, địa điểm cung cấp, cấp loại đường vận chuyển, cước vận chuyển hàng hoában hành tại địa phương, Chủ đầu tư và Nhà thầu thương thảo, thoả thuận chi phívận chuyển hợp lý để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định mức gia công, lắp dựng, tháo dỡ vánkhuôn tấm lớn công trình thuỷ công để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khuôn tấmlớn công trình thuỷ công là các ván khuôn có kích thước của một tấm ván khuôntừ 1,5 x 2m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nhà tạm tại hiện trường để ở vàđiều hành thi công bao gồm cả chi phí đưa đón công nhân xây dựng đến hiệntrường xây lắp đ­ược tính toán căn cứ vào nhu cầu cần thiết của công trình,theo tổng mặt bằng và tổng tiến độ công trình được cơ quan có thẩm quyền phêduyệt, nh­ưng không vư­ợt quá 2% giá trị dự toán chi phí xây dựng của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tiếp thực hiện Thông tư này doNgười quyết định đầu tư xem xét, quyết định phù hợp với từng giai đoạn thựchiện của dự án đảm bảo nguyên tắc không làm gián đoạn các công việc thực hiệndự án đầu tư xây dựng công trình; đối với những dự án do Thủ tướng Chính phủquyết định đầu tư thì Chủ tịch Tập đoàn kinh tế, Chủ tịch Hội đồng quản trịTổng Công ty Nhà nước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ngàykể từ ngày đăng Công báo và áp dụng cho các dự án </w:t>
      </w:r>
      <w:r>
        <w:t xml:space="preserve">thực hiện theo cơ chế 797 - 400</w:t>
      </w:r>
      <w:r>
        <w:t xml:space="preserve"> được thực hiện từ trước đến nay. Trong quátrình thực hiện nếu có vướng mắc, đề nghị phản ánh về Bộ Xây dựng để nghiên cứugiải quyết./.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Lại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kèmtheo Thông tư số 17/2008/TT-BXD ngày 02 tháng 10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Xâydựng)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HỢPDỰ TOÁN CHI PHÍSẢN XUẤT VẬT LIỆU KHAITHÁC TẠI CÁC DỰ ÁN THUỶ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KHOẢN MỤC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 Q</w:t>
            </w:r>
            <w:r>
              <w:rPr>
                <w:vertAlign w:val="subscript"/>
              </w:rPr>
              <w:t xml:space="preserve">j</w:t>
            </w:r>
            <w:r>
              <w:t xml:space="preserve"> x D</w:t>
            </w:r>
            <w:r>
              <w:rPr>
                <w:vertAlign w:val="subscript"/>
              </w:rPr>
              <w:t xml:space="preserve">j</w:t>
            </w:r>
            <w:r>
              <w:rPr>
                <w:vertAlign w:val="superscript"/>
              </w:rPr>
              <w:t xml:space="preserve">vl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nhân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 Q</w:t>
            </w:r>
            <w:r>
              <w:rPr>
                <w:vertAlign w:val="subscript"/>
              </w:rPr>
              <w:t xml:space="preserve">j</w:t>
            </w:r>
            <w:r>
              <w:t xml:space="preserve">x D</w:t>
            </w:r>
            <w:r>
              <w:rPr>
                <w:vertAlign w:val="subscript"/>
              </w:rPr>
              <w:t xml:space="preserve">j</w:t>
            </w:r>
            <w:r>
              <w:rPr>
                <w:vertAlign w:val="superscript"/>
              </w:rPr>
              <w:t xml:space="preserve">nc </w:t>
            </w:r>
            <w:r>
              <w:t xml:space="preserve">x (1 + K</w:t>
            </w:r>
            <w:r>
              <w:rPr>
                <w:vertAlign w:val="subscript"/>
              </w:rPr>
              <w:t xml:space="preserve">nc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máy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 Q</w:t>
            </w:r>
            <w:r>
              <w:rPr>
                <w:vertAlign w:val="subscript"/>
              </w:rPr>
              <w:t xml:space="preserve">j</w:t>
            </w:r>
            <w:r>
              <w:t xml:space="preserve">x D</w:t>
            </w:r>
            <w:r>
              <w:rPr>
                <w:vertAlign w:val="subscript"/>
              </w:rPr>
              <w:t xml:space="preserve">j</w:t>
            </w:r>
            <w:r>
              <w:rPr>
                <w:vertAlign w:val="superscript"/>
              </w:rPr>
              <w:t xml:space="preserve">m</w:t>
            </w:r>
            <w:r>
              <w:t xml:space="preserve"> x (1 + K</w:t>
            </w:r>
            <w:r>
              <w:rPr>
                <w:vertAlign w:val="subscript"/>
              </w:rPr>
              <w:t xml:space="preserve">mtc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Chi phí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VL+NC+M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x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 NHẬP CHỊU THUẾ TÍNH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x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Chi phí vật liệu xây dựng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w:t>
      </w:r>
      <w:r>
        <w:rPr>
          <w:vertAlign w:val="subscript"/>
        </w:rPr>
        <w:t xml:space="preserve">j</w:t>
      </w:r>
      <w:r>
        <w:t xml:space="preserve"> là khối lượng </w:t>
      </w:r>
      <w:r>
        <w:t xml:space="preserve">vật liệu </w:t>
      </w:r>
      <w:r>
        <w:t xml:space="preserve">j (j=1</w:t>
      </w:r>
      <w:r>
        <w:t xml:space="preserve">¸</w:t>
      </w:r>
      <w:r>
        <w:t xml:space="preserve">n) </w:t>
      </w:r>
      <w:r>
        <w:t xml:space="preserve">dùng đểkhai thác và sản xuất ra vật liệu xây dựng cho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rPr>
          <w:vertAlign w:val="subscript"/>
        </w:rPr>
        <w:t xml:space="preserve">j</w:t>
      </w:r>
      <w:r>
        <w:rPr>
          <w:vertAlign w:val="superscript"/>
        </w:rPr>
        <w:t xml:space="preserve">vl</w:t>
      </w:r>
      <w:r>
        <w:t xml:space="preserve">, D</w:t>
      </w:r>
      <w:r>
        <w:rPr>
          <w:vertAlign w:val="subscript"/>
        </w:rPr>
        <w:t xml:space="preserve">j</w:t>
      </w:r>
      <w:r>
        <w:rPr>
          <w:vertAlign w:val="superscript"/>
        </w:rPr>
        <w:t xml:space="preserve">nc</w:t>
      </w:r>
      <w:r>
        <w:t xml:space="preserve">,D</w:t>
      </w:r>
      <w:r>
        <w:rPr>
          <w:vertAlign w:val="subscript"/>
        </w:rPr>
        <w:t xml:space="preserve">j</w:t>
      </w:r>
      <w:r>
        <w:rPr>
          <w:vertAlign w:val="superscript"/>
        </w:rPr>
        <w:t xml:space="preserve">m</w:t>
      </w:r>
      <w:r>
        <w:t xml:space="preserve"> là chi phí vật liệu, nhân công, máy thi công trongđơn giá xây dựng chi tiết của </w:t>
      </w:r>
      <w:r>
        <w:t xml:space="preserve">vật liệu </w:t>
      </w:r>
      <w:r>
        <w:t xml:space="preserve">j(j=1</w:t>
      </w:r>
      <w:r>
        <w:t xml:space="preserve">¸</w:t>
      </w:r>
      <w:r>
        <w:t xml:space="preserve">n) </w:t>
      </w:r>
      <w:r>
        <w:t xml:space="preserve">dùng đểkhai thác và sản xuất ra vật liệu xây dựng cho công trình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nc</w:t>
      </w:r>
      <w:r>
        <w:t xml:space="preserve">, K</w:t>
      </w:r>
      <w:r>
        <w:rPr>
          <w:vertAlign w:val="subscript"/>
        </w:rPr>
        <w:t xml:space="preserve">mtc</w:t>
      </w:r>
      <w:r>
        <w:t xml:space="preserve"> : Hệ số điềuchỉnh nhân công, máy thi công (nếu có).</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2008-tt-bxd-cua-bo-xay-dung---huong-dan-mot-so-noi-dung-lap-va-quan-ly-chi-phi-dau-tu-xay-dung-cong-trinh-thuy-dien-theo-co-che-797---400.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2022-06-21T16:39:50Z</dcterms:created>
  <dcterms:modified xsi:type="dcterms:W3CDTF">2022-06-21T16:39:50Z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2022-06-21T16:39:50Z</dcterms:created>
  <dcterms:modified xsi:type="dcterms:W3CDTF">2022-06-21T16:39:50Z</dcterms:modified>
</cp:coreProperties>
</file>