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33/2014/TT-BYT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27 tháng 10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GIÁ TỐI ĐA VÀ CHI PHÍ PHỤC VỤ CHO VIỆC XÁC ĐỊNH GIÁ MỘT ĐƠN VỊ </w:t>
      </w:r>
    </w:p>
    <w:p>
      <w:pPr>
        <w:pStyle w:val="Normal(Web)"/>
        <w:divId w:val="7"/>
        <w:jc w:val="center"/>
        <w:rPr>
          <w:vanish w:val="0"/>
        </w:rPr>
      </w:pPr>
      <w:r>
        <w:rPr>
          <w:b/>
        </w:rPr>
        <w:t xml:space="preserve">MÁU TOÀN PHẦN, CHẾ PHẨM MÁU ĐẠT TIÊU CHUẨN</w:t>
      </w:r>
    </w:p>
    <w:p>
      <w:pPr>
        <w:pStyle w:val="Normal(Web)"/>
        <w:divId w:val="8"/>
        <w:rPr>
          <w:vanish w:val="0"/>
        </w:rPr>
      </w:pPr>
      <w:r>
        <w:rPr>
          <w:i/>
        </w:rPr>
        <w:t xml:space="preserve">Căn cứ Luật dược số </w:t>
      </w:r>
      <w:hyperlink r:id="rId4" w:history="1">
        <w:r>
          <w:rPr>
            <w:rStyle w:val="Hyperlink"/>
            <w:i/>
          </w:rPr>
          <w:t xml:space="preserve">34/2005/QH11 </w:t>
        </w:r>
      </w:hyperlink>
      <w:r>
        <w:rPr>
          <w:i/>
        </w:rPr>
        <w:t xml:space="preserve"> ngày 14 tháng 6 năm 2005;</w:t>
      </w:r>
    </w:p>
    <w:p>
      <w:pPr>
        <w:pStyle w:val="Normal(Web)"/>
        <w:divId w:val="9"/>
        <w:rPr>
          <w:vanish w:val="0"/>
        </w:rPr>
      </w:pPr>
      <w:r>
        <w:rPr>
          <w:i/>
        </w:rPr>
        <w:t xml:space="preserve">Căn cứ Luật giá số </w:t>
      </w:r>
      <w:hyperlink r:id="rId5" w:history="1">
        <w:r>
          <w:rPr>
            <w:rStyle w:val="Hyperlink"/>
            <w:i/>
          </w:rPr>
          <w:t xml:space="preserve">11/2012/QH13 </w:t>
        </w:r>
      </w:hyperlink>
      <w:r>
        <w:rPr>
          <w:i/>
        </w:rPr>
        <w:t xml:space="preserve"> ngày 20 tháng 6 năm 2012;</w:t>
      </w:r>
    </w:p>
    <w:p>
      <w:pPr>
        <w:pStyle w:val="Normal(Web)"/>
        <w:divId w:val="10"/>
        <w:rPr>
          <w:vanish w:val="0"/>
        </w:rPr>
      </w:pPr>
      <w:r>
        <w:rPr>
          <w:i/>
        </w:rPr>
        <w:t xml:space="preserve">Căn cứ Nghị định số </w:t>
      </w:r>
      <w:hyperlink r:id="rId6"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r>
        <w:rPr>
          <w:i/>
        </w:rPr>
        <w:t xml:space="preserve">;</w:t>
      </w:r>
    </w:p>
    <w:p>
      <w:pPr>
        <w:pStyle w:val="Normal(Web)"/>
        <w:divId w:val="11"/>
        <w:rPr>
          <w:vanish w:val="0"/>
        </w:rPr>
      </w:pPr>
      <w:r>
        <w:rPr>
          <w:i/>
        </w:rPr>
        <w:t xml:space="preserve">Xét đề nghị của Vụ trưởng Vụ Kế hoạch - Tài chính,</w:t>
      </w:r>
    </w:p>
    <w:p>
      <w:pPr>
        <w:pStyle w:val="Normal(Web)"/>
        <w:divId w:val="12"/>
        <w:rPr>
          <w:vanish w:val="0"/>
        </w:rPr>
      </w:pPr>
      <w:r>
        <w:rPr>
          <w:i/>
        </w:rPr>
        <w:t xml:space="preserve">Bộ trưởng Bộ Y tế ban hành Thông tư quy định giá tối đa và chi phí phục vụ cho việc xác định giá một đơn vị máu toàn phần và chế phẩm máu đạt tiêu chuẩn.</w:t>
      </w:r>
    </w:p>
    <w:p>
      <w:pPr>
        <w:pStyle w:val="Normal(Web)"/>
        <w:divId w:val="13"/>
        <w:rPr>
          <w:vanish w:val="0"/>
        </w:rPr>
      </w:pPr>
      <w:r>
        <w:rPr>
          <w:b/>
        </w:rPr>
        <w:t xml:space="preserve">Điều 1. Phạm vi điều chỉnh và đối tượng áp dụng</w:t>
      </w:r>
    </w:p>
    <w:p>
      <w:pPr>
        <w:pStyle w:val="Normal(Web)"/>
        <w:divId w:val="14"/>
        <w:rPr>
          <w:vanish w:val="0"/>
        </w:rPr>
      </w:pPr>
      <w:r>
        <w:t xml:space="preserve">1. Phạm vi điều chỉnh:</w:t>
      </w:r>
    </w:p>
    <w:p>
      <w:pPr>
        <w:pStyle w:val="Normal(Web)"/>
        <w:divId w:val="15"/>
        <w:rPr>
          <w:vanish w:val="0"/>
        </w:rPr>
      </w:pPr>
      <w:r>
        <w:t xml:space="preserve">Thông tư này quy định mức giá tối đa của một số đơn vị máu toàn phần và chế phẩm máu đạt tiêu chuẩn do ngân sách nhà nước và Quỹ bảo hiểm y tế chi trả và chi phí phục vụ cho việc định giá của một đơn vị máu toàn phần, chế phẩm máu đạt tiêu chuẩn.</w:t>
      </w:r>
    </w:p>
    <w:p>
      <w:pPr>
        <w:pStyle w:val="Normal(Web)"/>
        <w:divId w:val="16"/>
        <w:rPr>
          <w:vanish w:val="0"/>
        </w:rPr>
      </w:pPr>
      <w:r>
        <w:t xml:space="preserve">2. Đối tượng áp dụng:</w:t>
      </w:r>
    </w:p>
    <w:p>
      <w:pPr>
        <w:pStyle w:val="Normal(Web)"/>
        <w:divId w:val="17"/>
        <w:rPr>
          <w:vanish w:val="0"/>
        </w:rPr>
      </w:pPr>
      <w:r>
        <w:t xml:space="preserve">a) Ban chỉ đạo hiến máu tình nguyện các cấp; các cơ quan, đơn vị, tổ chức tham gia tuyên truyền, vận động, tổ chức hiến máu tình nguyện và người hiến máu.</w:t>
      </w:r>
    </w:p>
    <w:p>
      <w:pPr>
        <w:pStyle w:val="Normal(Web)"/>
        <w:divId w:val="18"/>
        <w:rPr>
          <w:vanish w:val="0"/>
        </w:rPr>
      </w:pPr>
      <w:r>
        <w:t xml:space="preserve">b) Các cơ sở y tế có chức năng tuyển chọn người hiến máu; tiếp nhận máu, thành phần máu; xét nghiệm sàng lọc máu; điều chế các chế phẩm máu; lưu trữ, bảo quản, cung cấp, sử dụng máu và chế phẩm máu theo quy định của Bộ Y tế (sau đây gọi tắt là cơ sở truyền máu);</w:t>
      </w:r>
    </w:p>
    <w:p>
      <w:pPr>
        <w:pStyle w:val="Normal(Web)"/>
        <w:divId w:val="19"/>
        <w:rPr>
          <w:vanish w:val="0"/>
        </w:rPr>
      </w:pPr>
      <w:r>
        <w:rPr>
          <w:b/>
        </w:rPr>
        <w:t xml:space="preserve">Điều 2. Quy định về đơn vị máu, chế phẩm máu đạt tiêu chuẩn.</w:t>
      </w:r>
    </w:p>
    <w:p>
      <w:pPr>
        <w:pStyle w:val="Normal(Web)"/>
        <w:divId w:val="20"/>
        <w:rPr>
          <w:vanish w:val="0"/>
        </w:rPr>
      </w:pPr>
      <w:r>
        <w:t xml:space="preserve">1. Đơn vị máu đạt tiêu chuẩn khi chuẩn được lấy, bảo quản trong túi chất dẻo có sẵn chất chống đông và đã được làm đầy đủ các xét nghiệm sàng lọc bắt buộc theo quy định tại Thông tư số </w:t>
      </w:r>
      <w:hyperlink r:id="rId7" w:history="1">
        <w:r>
          <w:rPr>
            <w:rStyle w:val="Hyperlink"/>
          </w:rPr>
          <w:t xml:space="preserve">26/2013/TT-BYT </w:t>
        </w:r>
      </w:hyperlink>
      <w:r>
        <w:t xml:space="preserve"> ngày 16 tháng 9 năm 2013 của Bộ Y tế hướng dẫn hoạt động truyền máu (sau đây gọi tắt là Thông tư số 26/2013/TT-BYT ).</w:t>
      </w:r>
    </w:p>
    <w:p>
      <w:pPr>
        <w:pStyle w:val="Normal(Web)"/>
        <w:divId w:val="21"/>
        <w:rPr>
          <w:vanish w:val="0"/>
        </w:rPr>
      </w:pPr>
      <w:r>
        <w:t xml:space="preserve">2. Chế phẩm máu đạt tiêu chuẩn khi được điều chế đạt các tiêu chuẩn quy định tại Thông tư số 26/2013/TT-BYT.</w:t>
      </w:r>
    </w:p>
    <w:p>
      <w:pPr>
        <w:pStyle w:val="Normal(Web)"/>
        <w:divId w:val="22"/>
        <w:rPr>
          <w:vanish w:val="0"/>
        </w:rPr>
      </w:pPr>
      <w:r>
        <w:rPr>
          <w:b/>
        </w:rPr>
        <w:t xml:space="preserve">Điều 3.</w:t>
      </w:r>
      <w:r>
        <w:t xml:space="preserve"> </w:t>
      </w:r>
      <w:r>
        <w:rPr>
          <w:b/>
        </w:rPr>
        <w:t xml:space="preserve">Quy định mức giá tối đa của một số đơn vị máu toàn phần và chế phẩm máu</w:t>
      </w:r>
    </w:p>
    <w:p>
      <w:pPr>
        <w:pStyle w:val="Normal(Web)"/>
        <w:divId w:val="23"/>
        <w:rPr>
          <w:vanish w:val="0"/>
        </w:rPr>
      </w:pPr>
      <w:r>
        <w:rPr>
          <w:b/>
        </w:rPr>
        <w:t xml:space="preserve">1. Các đơn vị máu toàn phần: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
              <w:jc w:val="center"/>
              <w:rPr>
                <w:vanish w:val="0"/>
              </w:rPr>
            </w:pPr>
            <w:r>
              <w:rPr>
                <w:b/>
              </w:rPr>
              <w:t xml:space="preserve">STT</w:t>
            </w:r>
          </w:p>
        </w:tc>
        <w:tc>
          <w:tcPr>
            <w:tcW w:w="0" w:type="auto"/>
            <w:shd w:val="clear" w:color="auto" w:fill="auto"/>
            <w:vAlign w:val="center"/>
          </w:tcPr>
          <w:p>
            <w:pPr>
              <w:pStyle w:val="Normal(Web)"/>
              <w:divId w:val="25"/>
              <w:jc w:val="center"/>
              <w:rPr>
                <w:vanish w:val="0"/>
              </w:rPr>
            </w:pPr>
            <w:r>
              <w:rPr>
                <w:b/>
              </w:rPr>
              <w:t xml:space="preserve">Máu toàn phần theo thể tích</w:t>
            </w:r>
          </w:p>
        </w:tc>
        <w:tc>
          <w:tcPr>
            <w:tcW w:w="0" w:type="auto"/>
            <w:shd w:val="clear" w:color="auto" w:fill="auto"/>
            <w:vAlign w:val="center"/>
          </w:tcPr>
          <w:p>
            <w:pPr>
              <w:pStyle w:val="Normal(Web)"/>
              <w:divId w:val="26"/>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27"/>
              <w:jc w:val="center"/>
              <w:rPr>
                <w:vanish w:val="0"/>
              </w:rPr>
            </w:pPr>
            <w:r>
              <w:rPr>
                <w:b/>
              </w:rPr>
              <w:t xml:space="preserve">Giá tối đa (đồng)</w:t>
            </w:r>
          </w:p>
        </w:tc>
      </w:tr>
      <w:tr>
        <w:trPr>
          <w:jc w:val="left"/>
        </w:trPr>
        <w:tc>
          <w:tcPr>
            <w:tcW w:w="0" w:type="auto"/>
            <w:shd w:val="clear" w:color="auto" w:fill="auto"/>
            <w:vAlign w:val="center"/>
          </w:tcPr>
          <w:p>
            <w:pPr>
              <w:pStyle w:val="Normal(Web)"/>
              <w:divId w:val="28"/>
              <w:rPr>
                <w:vanish w:val="0"/>
              </w:rPr>
            </w:pPr>
            <w:r>
              <w:t xml:space="preserve">1</w:t>
            </w:r>
          </w:p>
        </w:tc>
        <w:tc>
          <w:tcPr>
            <w:tcW w:w="0" w:type="auto"/>
            <w:shd w:val="clear" w:color="auto" w:fill="auto"/>
            <w:vAlign w:val="center"/>
          </w:tcPr>
          <w:p>
            <w:pPr>
              <w:pStyle w:val="Normal(Web)"/>
              <w:divId w:val="29"/>
              <w:rPr>
                <w:vanish w:val="0"/>
              </w:rPr>
            </w:pPr>
            <w:r>
              <w:t xml:space="preserve">Máu toàn phần 30 ml</w:t>
            </w:r>
          </w:p>
        </w:tc>
        <w:tc>
          <w:tcPr>
            <w:tcW w:w="0" w:type="auto"/>
            <w:shd w:val="clear" w:color="auto" w:fill="auto"/>
            <w:vAlign w:val="center"/>
          </w:tcPr>
          <w:p>
            <w:pPr>
              <w:pStyle w:val="Normal(Web)"/>
              <w:divId w:val="30"/>
              <w:jc w:val="center"/>
              <w:rPr>
                <w:vanish w:val="0"/>
              </w:rPr>
            </w:pPr>
            <w:r>
              <w:t xml:space="preserve">35</w:t>
            </w:r>
          </w:p>
        </w:tc>
        <w:tc>
          <w:tcPr>
            <w:tcW w:w="0" w:type="auto"/>
            <w:shd w:val="clear" w:color="auto" w:fill="auto"/>
            <w:vAlign w:val="center"/>
          </w:tcPr>
          <w:p>
            <w:pPr>
              <w:pStyle w:val="Normal(Web)"/>
              <w:divId w:val="31"/>
              <w:jc w:val="center"/>
              <w:rPr>
                <w:vanish w:val="0"/>
              </w:rPr>
            </w:pPr>
            <w:r>
              <w:t xml:space="preserve">105.000</w:t>
            </w:r>
          </w:p>
        </w:tc>
      </w:tr>
      <w:tr>
        <w:trPr>
          <w:jc w:val="left"/>
        </w:trPr>
        <w:tc>
          <w:tcPr>
            <w:tcW w:w="0" w:type="auto"/>
            <w:shd w:val="clear" w:color="auto" w:fill="auto"/>
            <w:vAlign w:val="center"/>
          </w:tcPr>
          <w:p>
            <w:pPr>
              <w:pStyle w:val="Normal(Web)"/>
              <w:divId w:val="32"/>
              <w:rPr>
                <w:vanish w:val="0"/>
              </w:rPr>
            </w:pPr>
            <w:r>
              <w:t xml:space="preserve">2</w:t>
            </w:r>
          </w:p>
        </w:tc>
        <w:tc>
          <w:tcPr>
            <w:tcW w:w="0" w:type="auto"/>
            <w:shd w:val="clear" w:color="auto" w:fill="auto"/>
            <w:vAlign w:val="center"/>
          </w:tcPr>
          <w:p>
            <w:pPr>
              <w:pStyle w:val="Normal(Web)"/>
              <w:divId w:val="33"/>
              <w:rPr>
                <w:vanish w:val="0"/>
              </w:rPr>
            </w:pPr>
            <w:r>
              <w:t xml:space="preserve">Máu toàn phần 50 ml</w:t>
            </w:r>
          </w:p>
        </w:tc>
        <w:tc>
          <w:tcPr>
            <w:tcW w:w="0" w:type="auto"/>
            <w:shd w:val="clear" w:color="auto" w:fill="auto"/>
            <w:vAlign w:val="center"/>
          </w:tcPr>
          <w:p>
            <w:pPr>
              <w:pStyle w:val="Normal(Web)"/>
              <w:divId w:val="34"/>
              <w:jc w:val="center"/>
              <w:rPr>
                <w:vanish w:val="0"/>
              </w:rPr>
            </w:pPr>
            <w:r>
              <w:t xml:space="preserve">55</w:t>
            </w:r>
          </w:p>
        </w:tc>
        <w:tc>
          <w:tcPr>
            <w:tcW w:w="0" w:type="auto"/>
            <w:shd w:val="clear" w:color="auto" w:fill="auto"/>
            <w:vAlign w:val="center"/>
          </w:tcPr>
          <w:p>
            <w:pPr>
              <w:pStyle w:val="Normal(Web)"/>
              <w:divId w:val="35"/>
              <w:jc w:val="center"/>
              <w:rPr>
                <w:vanish w:val="0"/>
              </w:rPr>
            </w:pPr>
            <w:r>
              <w:t xml:space="preserve">150.000</w:t>
            </w:r>
          </w:p>
        </w:tc>
      </w:tr>
      <w:tr>
        <w:trPr>
          <w:jc w:val="left"/>
        </w:trPr>
        <w:tc>
          <w:tcPr>
            <w:tcW w:w="0" w:type="auto"/>
            <w:shd w:val="clear" w:color="auto" w:fill="auto"/>
            <w:vAlign w:val="center"/>
          </w:tcPr>
          <w:p>
            <w:pPr>
              <w:pStyle w:val="Normal(Web)"/>
              <w:divId w:val="36"/>
              <w:rPr>
                <w:vanish w:val="0"/>
              </w:rPr>
            </w:pPr>
            <w:r>
              <w:t xml:space="preserve">3</w:t>
            </w:r>
          </w:p>
        </w:tc>
        <w:tc>
          <w:tcPr>
            <w:tcW w:w="0" w:type="auto"/>
            <w:shd w:val="clear" w:color="auto" w:fill="auto"/>
            <w:vAlign w:val="center"/>
          </w:tcPr>
          <w:p>
            <w:pPr>
              <w:pStyle w:val="Normal(Web)"/>
              <w:divId w:val="37"/>
              <w:rPr>
                <w:vanish w:val="0"/>
              </w:rPr>
            </w:pPr>
            <w:r>
              <w:t xml:space="preserve">Máu toàn phần 100 ml</w:t>
            </w:r>
          </w:p>
        </w:tc>
        <w:tc>
          <w:tcPr>
            <w:tcW w:w="0" w:type="auto"/>
            <w:shd w:val="clear" w:color="auto" w:fill="auto"/>
            <w:vAlign w:val="center"/>
          </w:tcPr>
          <w:p>
            <w:pPr>
              <w:pStyle w:val="Normal(Web)"/>
              <w:divId w:val="38"/>
              <w:jc w:val="center"/>
              <w:rPr>
                <w:vanish w:val="0"/>
              </w:rPr>
            </w:pPr>
            <w:r>
              <w:t xml:space="preserve">115</w:t>
            </w:r>
          </w:p>
        </w:tc>
        <w:tc>
          <w:tcPr>
            <w:tcW w:w="0" w:type="auto"/>
            <w:shd w:val="clear" w:color="auto" w:fill="auto"/>
            <w:vAlign w:val="center"/>
          </w:tcPr>
          <w:p>
            <w:pPr>
              <w:pStyle w:val="Normal(Web)"/>
              <w:divId w:val="39"/>
              <w:jc w:val="center"/>
              <w:rPr>
                <w:vanish w:val="0"/>
              </w:rPr>
            </w:pPr>
            <w:r>
              <w:t xml:space="preserve">275.000</w:t>
            </w:r>
          </w:p>
        </w:tc>
      </w:tr>
      <w:tr>
        <w:trPr>
          <w:jc w:val="left"/>
        </w:trPr>
        <w:tc>
          <w:tcPr>
            <w:tcW w:w="0" w:type="auto"/>
            <w:shd w:val="clear" w:color="auto" w:fill="auto"/>
            <w:vAlign w:val="center"/>
          </w:tcPr>
          <w:p>
            <w:pPr>
              <w:pStyle w:val="Normal(Web)"/>
              <w:divId w:val="40"/>
              <w:rPr>
                <w:vanish w:val="0"/>
              </w:rPr>
            </w:pPr>
            <w:r>
              <w:t xml:space="preserve">4</w:t>
            </w:r>
          </w:p>
        </w:tc>
        <w:tc>
          <w:tcPr>
            <w:tcW w:w="0" w:type="auto"/>
            <w:shd w:val="clear" w:color="auto" w:fill="auto"/>
            <w:vAlign w:val="center"/>
          </w:tcPr>
          <w:p>
            <w:pPr>
              <w:pStyle w:val="Normal(Web)"/>
              <w:divId w:val="41"/>
              <w:rPr>
                <w:vanish w:val="0"/>
              </w:rPr>
            </w:pPr>
            <w:r>
              <w:t xml:space="preserve">Máu toàn phần 150 ml</w:t>
            </w:r>
          </w:p>
        </w:tc>
        <w:tc>
          <w:tcPr>
            <w:tcW w:w="0" w:type="auto"/>
            <w:shd w:val="clear" w:color="auto" w:fill="auto"/>
            <w:vAlign w:val="center"/>
          </w:tcPr>
          <w:p>
            <w:pPr>
              <w:pStyle w:val="Normal(Web)"/>
              <w:divId w:val="42"/>
              <w:jc w:val="center"/>
              <w:rPr>
                <w:vanish w:val="0"/>
              </w:rPr>
            </w:pPr>
            <w:r>
              <w:t xml:space="preserve">170</w:t>
            </w:r>
          </w:p>
        </w:tc>
        <w:tc>
          <w:tcPr>
            <w:tcW w:w="0" w:type="auto"/>
            <w:shd w:val="clear" w:color="auto" w:fill="auto"/>
            <w:vAlign w:val="center"/>
          </w:tcPr>
          <w:p>
            <w:pPr>
              <w:pStyle w:val="Normal(Web)"/>
              <w:divId w:val="43"/>
              <w:jc w:val="center"/>
              <w:rPr>
                <w:vanish w:val="0"/>
              </w:rPr>
            </w:pPr>
            <w:r>
              <w:t xml:space="preserve">395.000</w:t>
            </w:r>
          </w:p>
        </w:tc>
      </w:tr>
      <w:tr>
        <w:trPr>
          <w:jc w:val="left"/>
        </w:trPr>
        <w:tc>
          <w:tcPr>
            <w:tcW w:w="0" w:type="auto"/>
            <w:shd w:val="clear" w:color="auto" w:fill="auto"/>
            <w:vAlign w:val="center"/>
          </w:tcPr>
          <w:p>
            <w:pPr>
              <w:pStyle w:val="Normal(Web)"/>
              <w:divId w:val="44"/>
              <w:rPr>
                <w:vanish w:val="0"/>
              </w:rPr>
            </w:pPr>
            <w:r>
              <w:t xml:space="preserve">5</w:t>
            </w:r>
          </w:p>
        </w:tc>
        <w:tc>
          <w:tcPr>
            <w:tcW w:w="0" w:type="auto"/>
            <w:shd w:val="clear" w:color="auto" w:fill="auto"/>
            <w:vAlign w:val="center"/>
          </w:tcPr>
          <w:p>
            <w:pPr>
              <w:pStyle w:val="Normal(Web)"/>
              <w:divId w:val="45"/>
              <w:rPr>
                <w:vanish w:val="0"/>
              </w:rPr>
            </w:pPr>
            <w:r>
              <w:t xml:space="preserve">Máu toàn phần 200 ml</w:t>
            </w:r>
          </w:p>
        </w:tc>
        <w:tc>
          <w:tcPr>
            <w:tcW w:w="0" w:type="auto"/>
            <w:shd w:val="clear" w:color="auto" w:fill="auto"/>
            <w:vAlign w:val="center"/>
          </w:tcPr>
          <w:p>
            <w:pPr>
              <w:pStyle w:val="Normal(Web)"/>
              <w:divId w:val="46"/>
              <w:jc w:val="center"/>
              <w:rPr>
                <w:vanish w:val="0"/>
              </w:rPr>
            </w:pPr>
            <w:r>
              <w:t xml:space="preserve">225</w:t>
            </w:r>
          </w:p>
        </w:tc>
        <w:tc>
          <w:tcPr>
            <w:tcW w:w="0" w:type="auto"/>
            <w:shd w:val="clear" w:color="auto" w:fill="auto"/>
            <w:vAlign w:val="center"/>
          </w:tcPr>
          <w:p>
            <w:pPr>
              <w:pStyle w:val="Normal(Web)"/>
              <w:divId w:val="47"/>
              <w:jc w:val="center"/>
              <w:rPr>
                <w:vanish w:val="0"/>
              </w:rPr>
            </w:pPr>
            <w:r>
              <w:t xml:space="preserve">495.000</w:t>
            </w:r>
          </w:p>
        </w:tc>
      </w:tr>
      <w:tr>
        <w:trPr>
          <w:jc w:val="left"/>
        </w:trPr>
        <w:tc>
          <w:tcPr>
            <w:tcW w:w="0" w:type="auto"/>
            <w:shd w:val="clear" w:color="auto" w:fill="auto"/>
            <w:vAlign w:val="center"/>
          </w:tcPr>
          <w:p>
            <w:pPr>
              <w:pStyle w:val="Normal(Web)"/>
              <w:divId w:val="48"/>
              <w:rPr>
                <w:vanish w:val="0"/>
              </w:rPr>
            </w:pPr>
            <w:r>
              <w:t xml:space="preserve">6</w:t>
            </w:r>
          </w:p>
        </w:tc>
        <w:tc>
          <w:tcPr>
            <w:tcW w:w="0" w:type="auto"/>
            <w:shd w:val="clear" w:color="auto" w:fill="auto"/>
            <w:vAlign w:val="center"/>
          </w:tcPr>
          <w:p>
            <w:pPr>
              <w:pStyle w:val="Normal(Web)"/>
              <w:divId w:val="49"/>
              <w:rPr>
                <w:vanish w:val="0"/>
              </w:rPr>
            </w:pPr>
            <w:r>
              <w:t xml:space="preserve">Máu toàn phần 250 ml</w:t>
            </w:r>
          </w:p>
        </w:tc>
        <w:tc>
          <w:tcPr>
            <w:tcW w:w="0" w:type="auto"/>
            <w:shd w:val="clear" w:color="auto" w:fill="auto"/>
            <w:vAlign w:val="center"/>
          </w:tcPr>
          <w:p>
            <w:pPr>
              <w:pStyle w:val="Normal(Web)"/>
              <w:divId w:val="50"/>
              <w:jc w:val="center"/>
              <w:rPr>
                <w:vanish w:val="0"/>
              </w:rPr>
            </w:pPr>
            <w:r>
              <w:t xml:space="preserve">285</w:t>
            </w:r>
          </w:p>
        </w:tc>
        <w:tc>
          <w:tcPr>
            <w:tcW w:w="0" w:type="auto"/>
            <w:shd w:val="clear" w:color="auto" w:fill="auto"/>
            <w:vAlign w:val="center"/>
          </w:tcPr>
          <w:p>
            <w:pPr>
              <w:pStyle w:val="Normal(Web)"/>
              <w:divId w:val="51"/>
              <w:jc w:val="center"/>
              <w:rPr>
                <w:vanish w:val="0"/>
              </w:rPr>
            </w:pPr>
            <w:r>
              <w:t xml:space="preserve">603.000</w:t>
            </w:r>
          </w:p>
        </w:tc>
      </w:tr>
      <w:tr>
        <w:trPr>
          <w:jc w:val="left"/>
        </w:trPr>
        <w:tc>
          <w:tcPr>
            <w:tcW w:w="0" w:type="auto"/>
            <w:shd w:val="clear" w:color="auto" w:fill="auto"/>
            <w:vAlign w:val="center"/>
          </w:tcPr>
          <w:p>
            <w:pPr>
              <w:pStyle w:val="Normal(Web)"/>
              <w:divId w:val="52"/>
              <w:rPr>
                <w:vanish w:val="0"/>
              </w:rPr>
            </w:pPr>
            <w:r>
              <w:t xml:space="preserve">7</w:t>
            </w:r>
          </w:p>
        </w:tc>
        <w:tc>
          <w:tcPr>
            <w:tcW w:w="0" w:type="auto"/>
            <w:shd w:val="clear" w:color="auto" w:fill="auto"/>
            <w:vAlign w:val="center"/>
          </w:tcPr>
          <w:p>
            <w:pPr>
              <w:pStyle w:val="Normal(Web)"/>
              <w:divId w:val="53"/>
              <w:rPr>
                <w:vanish w:val="0"/>
              </w:rPr>
            </w:pPr>
            <w:r>
              <w:t xml:space="preserve">Máu toàn phần 350 ml</w:t>
            </w:r>
          </w:p>
        </w:tc>
        <w:tc>
          <w:tcPr>
            <w:tcW w:w="0" w:type="auto"/>
            <w:shd w:val="clear" w:color="auto" w:fill="auto"/>
            <w:vAlign w:val="center"/>
          </w:tcPr>
          <w:p>
            <w:pPr>
              <w:pStyle w:val="Normal(Web)"/>
              <w:divId w:val="54"/>
              <w:jc w:val="center"/>
              <w:rPr>
                <w:vanish w:val="0"/>
              </w:rPr>
            </w:pPr>
            <w:r>
              <w:t xml:space="preserve">395</w:t>
            </w:r>
          </w:p>
        </w:tc>
        <w:tc>
          <w:tcPr>
            <w:tcW w:w="0" w:type="auto"/>
            <w:shd w:val="clear" w:color="auto" w:fill="auto"/>
            <w:vAlign w:val="center"/>
          </w:tcPr>
          <w:p>
            <w:pPr>
              <w:pStyle w:val="Normal(Web)"/>
              <w:divId w:val="55"/>
              <w:jc w:val="center"/>
              <w:rPr>
                <w:vanish w:val="0"/>
              </w:rPr>
            </w:pPr>
            <w:r>
              <w:t xml:space="preserve">705.000</w:t>
            </w:r>
          </w:p>
        </w:tc>
      </w:tr>
      <w:tr>
        <w:trPr>
          <w:jc w:val="left"/>
        </w:trPr>
        <w:tc>
          <w:tcPr>
            <w:tcW w:w="0" w:type="auto"/>
            <w:shd w:val="clear" w:color="auto" w:fill="auto"/>
            <w:vAlign w:val="center"/>
          </w:tcPr>
          <w:p>
            <w:pPr>
              <w:pStyle w:val="Normal(Web)"/>
              <w:divId w:val="56"/>
              <w:rPr>
                <w:vanish w:val="0"/>
              </w:rPr>
            </w:pPr>
            <w:r>
              <w:t xml:space="preserve">8</w:t>
            </w:r>
          </w:p>
        </w:tc>
        <w:tc>
          <w:tcPr>
            <w:tcW w:w="0" w:type="auto"/>
            <w:shd w:val="clear" w:color="auto" w:fill="auto"/>
            <w:vAlign w:val="center"/>
          </w:tcPr>
          <w:p>
            <w:pPr>
              <w:pStyle w:val="Normal(Web)"/>
              <w:divId w:val="57"/>
              <w:rPr>
                <w:vanish w:val="0"/>
              </w:rPr>
            </w:pPr>
            <w:r>
              <w:t xml:space="preserve">Máu toàn phần 450 ml</w:t>
            </w:r>
          </w:p>
        </w:tc>
        <w:tc>
          <w:tcPr>
            <w:tcW w:w="0" w:type="auto"/>
            <w:shd w:val="clear" w:color="auto" w:fill="auto"/>
            <w:vAlign w:val="center"/>
          </w:tcPr>
          <w:p>
            <w:pPr>
              <w:pStyle w:val="Normal(Web)"/>
              <w:divId w:val="58"/>
              <w:jc w:val="center"/>
              <w:rPr>
                <w:vanish w:val="0"/>
              </w:rPr>
            </w:pPr>
            <w:r>
              <w:t xml:space="preserve">510</w:t>
            </w:r>
          </w:p>
        </w:tc>
        <w:tc>
          <w:tcPr>
            <w:tcW w:w="0" w:type="auto"/>
            <w:shd w:val="clear" w:color="auto" w:fill="auto"/>
            <w:vAlign w:val="center"/>
          </w:tcPr>
          <w:p>
            <w:pPr>
              <w:pStyle w:val="Normal(Web)"/>
              <w:divId w:val="59"/>
              <w:jc w:val="center"/>
              <w:rPr>
                <w:vanish w:val="0"/>
              </w:rPr>
            </w:pPr>
            <w:r>
              <w:t xml:space="preserve">790.000</w:t>
            </w:r>
          </w:p>
        </w:tc>
      </w:tr>
    </w:tbl>
    <w:p>
      <w:pPr>
        <w:pStyle w:val="Normal(Web)"/>
        <w:divId w:val="60"/>
        <w:rPr>
          <w:vanish w:val="0"/>
        </w:rPr>
      </w:pPr>
      <w:r>
        <w:rPr>
          <w:b/>
        </w:rPr>
        <w:t xml:space="preserve">2. Các chế phẩm hồng cầu: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1"/>
              <w:jc w:val="center"/>
              <w:rPr>
                <w:vanish w:val="0"/>
              </w:rPr>
            </w:pPr>
            <w:r>
              <w:rPr>
                <w:b/>
              </w:rPr>
              <w:t xml:space="preserve">STT</w:t>
            </w:r>
          </w:p>
        </w:tc>
        <w:tc>
          <w:tcPr>
            <w:tcW w:w="0" w:type="auto"/>
            <w:shd w:val="clear" w:color="auto" w:fill="auto"/>
            <w:vAlign w:val="center"/>
          </w:tcPr>
          <w:p>
            <w:pPr>
              <w:pStyle w:val="Normal(Web)"/>
              <w:divId w:val="62"/>
              <w:jc w:val="center"/>
              <w:rPr>
                <w:vanish w:val="0"/>
              </w:rPr>
            </w:pPr>
            <w:r>
              <w:rPr>
                <w:b/>
              </w:rPr>
              <w:t xml:space="preserve">Chế phẩm hồng cầu theo thể tích</w:t>
            </w:r>
          </w:p>
        </w:tc>
        <w:tc>
          <w:tcPr>
            <w:tcW w:w="0" w:type="auto"/>
            <w:shd w:val="clear" w:color="auto" w:fill="auto"/>
            <w:vAlign w:val="center"/>
          </w:tcPr>
          <w:p>
            <w:pPr>
              <w:pStyle w:val="Normal(Web)"/>
              <w:divId w:val="63"/>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64"/>
              <w:jc w:val="center"/>
              <w:rPr>
                <w:vanish w:val="0"/>
              </w:rPr>
            </w:pPr>
            <w:r>
              <w:rPr>
                <w:b/>
              </w:rPr>
              <w:t xml:space="preserve">Giá tối đa (đồng)</w:t>
            </w:r>
          </w:p>
        </w:tc>
      </w:tr>
      <w:tr>
        <w:trPr>
          <w:jc w:val="left"/>
        </w:trPr>
        <w:tc>
          <w:tcPr>
            <w:tcW w:w="0" w:type="auto"/>
            <w:shd w:val="clear" w:color="auto" w:fill="auto"/>
            <w:vAlign w:val="center"/>
          </w:tcPr>
          <w:p>
            <w:pPr>
              <w:pStyle w:val="Normal(Web)"/>
              <w:divId w:val="65"/>
              <w:rPr>
                <w:vanish w:val="0"/>
              </w:rPr>
            </w:pPr>
            <w:r>
              <w:t xml:space="preserve">1</w:t>
            </w:r>
          </w:p>
        </w:tc>
        <w:tc>
          <w:tcPr>
            <w:tcW w:w="0" w:type="auto"/>
            <w:shd w:val="clear" w:color="auto" w:fill="auto"/>
            <w:vAlign w:val="center"/>
          </w:tcPr>
          <w:p>
            <w:pPr>
              <w:pStyle w:val="Normal(Web)"/>
              <w:divId w:val="66"/>
              <w:rPr>
                <w:vanish w:val="0"/>
              </w:rPr>
            </w:pPr>
            <w:r>
              <w:t xml:space="preserve">Khối hồng cầu từ 30 ml máu toàn phần</w:t>
            </w:r>
          </w:p>
        </w:tc>
        <w:tc>
          <w:tcPr>
            <w:tcW w:w="0" w:type="auto"/>
            <w:shd w:val="clear" w:color="auto" w:fill="auto"/>
            <w:vAlign w:val="center"/>
          </w:tcPr>
          <w:p>
            <w:pPr>
              <w:pStyle w:val="Normal(Web)"/>
              <w:divId w:val="67"/>
              <w:jc w:val="center"/>
              <w:rPr>
                <w:vanish w:val="0"/>
              </w:rPr>
            </w:pPr>
            <w:r>
              <w:t xml:space="preserve">20</w:t>
            </w:r>
          </w:p>
        </w:tc>
        <w:tc>
          <w:tcPr>
            <w:tcW w:w="0" w:type="auto"/>
            <w:shd w:val="clear" w:color="auto" w:fill="auto"/>
            <w:vAlign w:val="center"/>
          </w:tcPr>
          <w:p>
            <w:pPr>
              <w:pStyle w:val="Normal(Web)"/>
              <w:divId w:val="68"/>
              <w:jc w:val="center"/>
              <w:rPr>
                <w:vanish w:val="0"/>
              </w:rPr>
            </w:pPr>
            <w:r>
              <w:t xml:space="preserve">110.000</w:t>
            </w:r>
          </w:p>
        </w:tc>
      </w:tr>
      <w:tr>
        <w:trPr>
          <w:jc w:val="left"/>
        </w:trPr>
        <w:tc>
          <w:tcPr>
            <w:tcW w:w="0" w:type="auto"/>
            <w:shd w:val="clear" w:color="auto" w:fill="auto"/>
            <w:vAlign w:val="center"/>
          </w:tcPr>
          <w:p>
            <w:pPr>
              <w:pStyle w:val="Normal(Web)"/>
              <w:divId w:val="69"/>
              <w:rPr>
                <w:vanish w:val="0"/>
              </w:rPr>
            </w:pPr>
            <w:r>
              <w:t xml:space="preserve">2</w:t>
            </w:r>
          </w:p>
        </w:tc>
        <w:tc>
          <w:tcPr>
            <w:tcW w:w="0" w:type="auto"/>
            <w:shd w:val="clear" w:color="auto" w:fill="auto"/>
            <w:vAlign w:val="center"/>
          </w:tcPr>
          <w:p>
            <w:pPr>
              <w:pStyle w:val="Normal(Web)"/>
              <w:divId w:val="70"/>
              <w:rPr>
                <w:vanish w:val="0"/>
              </w:rPr>
            </w:pPr>
            <w:r>
              <w:t xml:space="preserve">Khối hồng cầu từ 50 ml máu toàn phần</w:t>
            </w:r>
          </w:p>
        </w:tc>
        <w:tc>
          <w:tcPr>
            <w:tcW w:w="0" w:type="auto"/>
            <w:shd w:val="clear" w:color="auto" w:fill="auto"/>
            <w:vAlign w:val="center"/>
          </w:tcPr>
          <w:p>
            <w:pPr>
              <w:pStyle w:val="Normal(Web)"/>
              <w:divId w:val="71"/>
              <w:jc w:val="center"/>
              <w:rPr>
                <w:vanish w:val="0"/>
              </w:rPr>
            </w:pPr>
            <w:r>
              <w:t xml:space="preserve">30</w:t>
            </w:r>
          </w:p>
        </w:tc>
        <w:tc>
          <w:tcPr>
            <w:tcW w:w="0" w:type="auto"/>
            <w:shd w:val="clear" w:color="auto" w:fill="auto"/>
            <w:vAlign w:val="center"/>
          </w:tcPr>
          <w:p>
            <w:pPr>
              <w:pStyle w:val="Normal(Web)"/>
              <w:divId w:val="72"/>
              <w:jc w:val="center"/>
              <w:rPr>
                <w:vanish w:val="0"/>
              </w:rPr>
            </w:pPr>
            <w:r>
              <w:t xml:space="preserve">155.000</w:t>
            </w:r>
          </w:p>
        </w:tc>
      </w:tr>
      <w:tr>
        <w:trPr>
          <w:jc w:val="left"/>
        </w:trPr>
        <w:tc>
          <w:tcPr>
            <w:tcW w:w="0" w:type="auto"/>
            <w:shd w:val="clear" w:color="auto" w:fill="auto"/>
            <w:vAlign w:val="center"/>
          </w:tcPr>
          <w:p>
            <w:pPr>
              <w:pStyle w:val="Normal(Web)"/>
              <w:divId w:val="73"/>
              <w:rPr>
                <w:vanish w:val="0"/>
              </w:rPr>
            </w:pPr>
            <w:r>
              <w:t xml:space="preserve">3</w:t>
            </w:r>
          </w:p>
        </w:tc>
        <w:tc>
          <w:tcPr>
            <w:tcW w:w="0" w:type="auto"/>
            <w:shd w:val="clear" w:color="auto" w:fill="auto"/>
            <w:vAlign w:val="center"/>
          </w:tcPr>
          <w:p>
            <w:pPr>
              <w:pStyle w:val="Normal(Web)"/>
              <w:divId w:val="74"/>
              <w:rPr>
                <w:vanish w:val="0"/>
              </w:rPr>
            </w:pPr>
            <w:r>
              <w:t xml:space="preserve">Khối hồng cầu từ 100 ml máu toàn phần</w:t>
            </w:r>
          </w:p>
        </w:tc>
        <w:tc>
          <w:tcPr>
            <w:tcW w:w="0" w:type="auto"/>
            <w:shd w:val="clear" w:color="auto" w:fill="auto"/>
            <w:vAlign w:val="center"/>
          </w:tcPr>
          <w:p>
            <w:pPr>
              <w:pStyle w:val="Normal(Web)"/>
              <w:divId w:val="75"/>
              <w:jc w:val="center"/>
              <w:rPr>
                <w:vanish w:val="0"/>
              </w:rPr>
            </w:pPr>
            <w:r>
              <w:t xml:space="preserve">70</w:t>
            </w:r>
          </w:p>
        </w:tc>
        <w:tc>
          <w:tcPr>
            <w:tcW w:w="0" w:type="auto"/>
            <w:shd w:val="clear" w:color="auto" w:fill="auto"/>
            <w:vAlign w:val="center"/>
          </w:tcPr>
          <w:p>
            <w:pPr>
              <w:pStyle w:val="Normal(Web)"/>
              <w:divId w:val="76"/>
              <w:jc w:val="center"/>
              <w:rPr>
                <w:vanish w:val="0"/>
              </w:rPr>
            </w:pPr>
            <w:r>
              <w:t xml:space="preserve">265.000</w:t>
            </w:r>
          </w:p>
        </w:tc>
      </w:tr>
      <w:tr>
        <w:trPr>
          <w:jc w:val="left"/>
        </w:trPr>
        <w:tc>
          <w:tcPr>
            <w:tcW w:w="0" w:type="auto"/>
            <w:shd w:val="clear" w:color="auto" w:fill="auto"/>
            <w:vAlign w:val="center"/>
          </w:tcPr>
          <w:p>
            <w:pPr>
              <w:pStyle w:val="Normal(Web)"/>
              <w:divId w:val="77"/>
              <w:rPr>
                <w:vanish w:val="0"/>
              </w:rPr>
            </w:pPr>
            <w:r>
              <w:t xml:space="preserve">4</w:t>
            </w:r>
          </w:p>
        </w:tc>
        <w:tc>
          <w:tcPr>
            <w:tcW w:w="0" w:type="auto"/>
            <w:shd w:val="clear" w:color="auto" w:fill="auto"/>
            <w:vAlign w:val="center"/>
          </w:tcPr>
          <w:p>
            <w:pPr>
              <w:pStyle w:val="Normal(Web)"/>
              <w:divId w:val="78"/>
              <w:rPr>
                <w:vanish w:val="0"/>
              </w:rPr>
            </w:pPr>
            <w:r>
              <w:t xml:space="preserve">Khối hồng từ 150 ml máu toàn phần</w:t>
            </w:r>
          </w:p>
        </w:tc>
        <w:tc>
          <w:tcPr>
            <w:tcW w:w="0" w:type="auto"/>
            <w:shd w:val="clear" w:color="auto" w:fill="auto"/>
            <w:vAlign w:val="center"/>
          </w:tcPr>
          <w:p>
            <w:pPr>
              <w:pStyle w:val="Normal(Web)"/>
              <w:divId w:val="79"/>
              <w:jc w:val="center"/>
              <w:rPr>
                <w:vanish w:val="0"/>
              </w:rPr>
            </w:pPr>
            <w:r>
              <w:t xml:space="preserve">110</w:t>
            </w:r>
          </w:p>
        </w:tc>
        <w:tc>
          <w:tcPr>
            <w:tcW w:w="0" w:type="auto"/>
            <w:shd w:val="clear" w:color="auto" w:fill="auto"/>
            <w:vAlign w:val="center"/>
          </w:tcPr>
          <w:p>
            <w:pPr>
              <w:pStyle w:val="Normal(Web)"/>
              <w:divId w:val="80"/>
              <w:jc w:val="center"/>
              <w:rPr>
                <w:vanish w:val="0"/>
              </w:rPr>
            </w:pPr>
            <w:r>
              <w:t xml:space="preserve">380.000</w:t>
            </w:r>
          </w:p>
        </w:tc>
      </w:tr>
      <w:tr>
        <w:trPr>
          <w:jc w:val="left"/>
        </w:trPr>
        <w:tc>
          <w:tcPr>
            <w:tcW w:w="0" w:type="auto"/>
            <w:shd w:val="clear" w:color="auto" w:fill="auto"/>
            <w:vAlign w:val="center"/>
          </w:tcPr>
          <w:p>
            <w:pPr>
              <w:pStyle w:val="Normal(Web)"/>
              <w:divId w:val="81"/>
              <w:rPr>
                <w:vanish w:val="0"/>
              </w:rPr>
            </w:pPr>
            <w:r>
              <w:t xml:space="preserve">5</w:t>
            </w:r>
          </w:p>
        </w:tc>
        <w:tc>
          <w:tcPr>
            <w:tcW w:w="0" w:type="auto"/>
            <w:shd w:val="clear" w:color="auto" w:fill="auto"/>
            <w:vAlign w:val="center"/>
          </w:tcPr>
          <w:p>
            <w:pPr>
              <w:pStyle w:val="Normal(Web)"/>
              <w:divId w:val="82"/>
              <w:rPr>
                <w:vanish w:val="0"/>
              </w:rPr>
            </w:pPr>
            <w:r>
              <w:t xml:space="preserve">Khối hồng từ 200 ml máu toàn phần</w:t>
            </w:r>
          </w:p>
        </w:tc>
        <w:tc>
          <w:tcPr>
            <w:tcW w:w="0" w:type="auto"/>
            <w:shd w:val="clear" w:color="auto" w:fill="auto"/>
            <w:vAlign w:val="center"/>
          </w:tcPr>
          <w:p>
            <w:pPr>
              <w:pStyle w:val="Normal(Web)"/>
              <w:divId w:val="83"/>
              <w:jc w:val="center"/>
              <w:rPr>
                <w:vanish w:val="0"/>
              </w:rPr>
            </w:pPr>
            <w:r>
              <w:t xml:space="preserve">145</w:t>
            </w:r>
          </w:p>
        </w:tc>
        <w:tc>
          <w:tcPr>
            <w:tcW w:w="0" w:type="auto"/>
            <w:shd w:val="clear" w:color="auto" w:fill="auto"/>
            <w:vAlign w:val="center"/>
          </w:tcPr>
          <w:p>
            <w:pPr>
              <w:pStyle w:val="Normal(Web)"/>
              <w:divId w:val="84"/>
              <w:jc w:val="center"/>
              <w:rPr>
                <w:vanish w:val="0"/>
              </w:rPr>
            </w:pPr>
            <w:r>
              <w:t xml:space="preserve">490.000</w:t>
            </w:r>
          </w:p>
        </w:tc>
      </w:tr>
      <w:tr>
        <w:trPr>
          <w:jc w:val="left"/>
        </w:trPr>
        <w:tc>
          <w:tcPr>
            <w:tcW w:w="0" w:type="auto"/>
            <w:shd w:val="clear" w:color="auto" w:fill="auto"/>
            <w:vAlign w:val="center"/>
          </w:tcPr>
          <w:p>
            <w:pPr>
              <w:pStyle w:val="Normal(Web)"/>
              <w:divId w:val="85"/>
              <w:rPr>
                <w:vanish w:val="0"/>
              </w:rPr>
            </w:pPr>
            <w:r>
              <w:t xml:space="preserve">6</w:t>
            </w:r>
          </w:p>
        </w:tc>
        <w:tc>
          <w:tcPr>
            <w:tcW w:w="0" w:type="auto"/>
            <w:shd w:val="clear" w:color="auto" w:fill="auto"/>
            <w:vAlign w:val="center"/>
          </w:tcPr>
          <w:p>
            <w:pPr>
              <w:pStyle w:val="Normal(Web)"/>
              <w:divId w:val="86"/>
              <w:rPr>
                <w:vanish w:val="0"/>
              </w:rPr>
            </w:pPr>
            <w:r>
              <w:t xml:space="preserve">Khối hồng cầu từ 250 ml máu toàn phần</w:t>
            </w:r>
          </w:p>
        </w:tc>
        <w:tc>
          <w:tcPr>
            <w:tcW w:w="0" w:type="auto"/>
            <w:shd w:val="clear" w:color="auto" w:fill="auto"/>
            <w:vAlign w:val="center"/>
          </w:tcPr>
          <w:p>
            <w:pPr>
              <w:pStyle w:val="Normal(Web)"/>
              <w:divId w:val="87"/>
              <w:jc w:val="center"/>
              <w:rPr>
                <w:vanish w:val="0"/>
              </w:rPr>
            </w:pPr>
            <w:r>
              <w:t xml:space="preserve">180</w:t>
            </w:r>
          </w:p>
        </w:tc>
        <w:tc>
          <w:tcPr>
            <w:tcW w:w="0" w:type="auto"/>
            <w:shd w:val="clear" w:color="auto" w:fill="auto"/>
            <w:vAlign w:val="center"/>
          </w:tcPr>
          <w:p>
            <w:pPr>
              <w:pStyle w:val="Normal(Web)"/>
              <w:divId w:val="88"/>
              <w:jc w:val="center"/>
              <w:rPr>
                <w:vanish w:val="0"/>
              </w:rPr>
            </w:pPr>
            <w:r>
              <w:t xml:space="preserve">600.000</w:t>
            </w:r>
          </w:p>
        </w:tc>
      </w:tr>
      <w:tr>
        <w:trPr>
          <w:jc w:val="left"/>
        </w:trPr>
        <w:tc>
          <w:tcPr>
            <w:tcW w:w="0" w:type="auto"/>
            <w:shd w:val="clear" w:color="auto" w:fill="auto"/>
            <w:vAlign w:val="center"/>
          </w:tcPr>
          <w:p>
            <w:pPr>
              <w:pStyle w:val="Normal(Web)"/>
              <w:divId w:val="89"/>
              <w:rPr>
                <w:vanish w:val="0"/>
              </w:rPr>
            </w:pPr>
            <w:r>
              <w:t xml:space="preserve">7</w:t>
            </w:r>
          </w:p>
        </w:tc>
        <w:tc>
          <w:tcPr>
            <w:tcW w:w="0" w:type="auto"/>
            <w:shd w:val="clear" w:color="auto" w:fill="auto"/>
            <w:vAlign w:val="center"/>
          </w:tcPr>
          <w:p>
            <w:pPr>
              <w:pStyle w:val="Normal(Web)"/>
              <w:divId w:val="90"/>
              <w:rPr>
                <w:vanish w:val="0"/>
              </w:rPr>
            </w:pPr>
            <w:r>
              <w:t xml:space="preserve">Khối hồng cầu từ 350 ml máu toàn phần</w:t>
            </w:r>
          </w:p>
        </w:tc>
        <w:tc>
          <w:tcPr>
            <w:tcW w:w="0" w:type="auto"/>
            <w:shd w:val="clear" w:color="auto" w:fill="auto"/>
            <w:vAlign w:val="center"/>
          </w:tcPr>
          <w:p>
            <w:pPr>
              <w:pStyle w:val="Normal(Web)"/>
              <w:divId w:val="91"/>
              <w:jc w:val="center"/>
              <w:rPr>
                <w:vanish w:val="0"/>
              </w:rPr>
            </w:pPr>
            <w:r>
              <w:t xml:space="preserve">230</w:t>
            </w:r>
          </w:p>
        </w:tc>
        <w:tc>
          <w:tcPr>
            <w:tcW w:w="0" w:type="auto"/>
            <w:shd w:val="clear" w:color="auto" w:fill="auto"/>
            <w:vAlign w:val="center"/>
          </w:tcPr>
          <w:p>
            <w:pPr>
              <w:pStyle w:val="Normal(Web)"/>
              <w:divId w:val="92"/>
              <w:jc w:val="center"/>
              <w:rPr>
                <w:vanish w:val="0"/>
              </w:rPr>
            </w:pPr>
            <w:r>
              <w:t xml:space="preserve">695.000</w:t>
            </w:r>
          </w:p>
        </w:tc>
      </w:tr>
      <w:tr>
        <w:trPr>
          <w:jc w:val="left"/>
        </w:trPr>
        <w:tc>
          <w:tcPr>
            <w:tcW w:w="0" w:type="auto"/>
            <w:shd w:val="clear" w:color="auto" w:fill="auto"/>
            <w:vAlign w:val="center"/>
          </w:tcPr>
          <w:p>
            <w:pPr>
              <w:pStyle w:val="Normal(Web)"/>
              <w:divId w:val="93"/>
              <w:rPr>
                <w:vanish w:val="0"/>
              </w:rPr>
            </w:pPr>
            <w:r>
              <w:t xml:space="preserve">8</w:t>
            </w:r>
          </w:p>
        </w:tc>
        <w:tc>
          <w:tcPr>
            <w:tcW w:w="0" w:type="auto"/>
            <w:shd w:val="clear" w:color="auto" w:fill="auto"/>
            <w:vAlign w:val="center"/>
          </w:tcPr>
          <w:p>
            <w:pPr>
              <w:pStyle w:val="Normal(Web)"/>
              <w:divId w:val="94"/>
              <w:rPr>
                <w:vanish w:val="0"/>
              </w:rPr>
            </w:pPr>
            <w:r>
              <w:t xml:space="preserve">Khối hồng cầu từ 450 ml máu toàn phần</w:t>
            </w:r>
          </w:p>
        </w:tc>
        <w:tc>
          <w:tcPr>
            <w:tcW w:w="0" w:type="auto"/>
            <w:shd w:val="clear" w:color="auto" w:fill="auto"/>
            <w:vAlign w:val="center"/>
          </w:tcPr>
          <w:p>
            <w:pPr>
              <w:pStyle w:val="Normal(Web)"/>
              <w:divId w:val="95"/>
              <w:jc w:val="center"/>
              <w:rPr>
                <w:vanish w:val="0"/>
              </w:rPr>
            </w:pPr>
            <w:r>
              <w:t xml:space="preserve">280</w:t>
            </w:r>
          </w:p>
        </w:tc>
        <w:tc>
          <w:tcPr>
            <w:tcW w:w="0" w:type="auto"/>
            <w:shd w:val="clear" w:color="auto" w:fill="auto"/>
            <w:vAlign w:val="center"/>
          </w:tcPr>
          <w:p>
            <w:pPr>
              <w:pStyle w:val="Normal(Web)"/>
              <w:divId w:val="96"/>
              <w:jc w:val="center"/>
              <w:rPr>
                <w:vanish w:val="0"/>
              </w:rPr>
            </w:pPr>
            <w:r>
              <w:t xml:space="preserve">770.000</w:t>
            </w:r>
          </w:p>
        </w:tc>
      </w:tr>
    </w:tbl>
    <w:p>
      <w:pPr>
        <w:pStyle w:val="Normal(Web)"/>
        <w:divId w:val="97"/>
        <w:rPr>
          <w:vanish w:val="0"/>
        </w:rPr>
      </w:pPr>
      <w:r>
        <w:rPr>
          <w:b/>
        </w:rPr>
        <w:t xml:space="preserve">3. Các chế phẩm huyết tương tươi đông lạnh: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8"/>
              <w:jc w:val="center"/>
              <w:rPr>
                <w:vanish w:val="0"/>
              </w:rPr>
            </w:pPr>
            <w:r>
              <w:rPr>
                <w:b/>
              </w:rPr>
              <w:t xml:space="preserve">STT</w:t>
            </w:r>
          </w:p>
        </w:tc>
        <w:tc>
          <w:tcPr>
            <w:tcW w:w="0" w:type="auto"/>
            <w:shd w:val="clear" w:color="auto" w:fill="auto"/>
            <w:vAlign w:val="center"/>
          </w:tcPr>
          <w:p>
            <w:pPr>
              <w:pStyle w:val="Normal(Web)"/>
              <w:divId w:val="99"/>
              <w:jc w:val="center"/>
              <w:rPr>
                <w:vanish w:val="0"/>
              </w:rPr>
            </w:pPr>
            <w:r>
              <w:rPr>
                <w:b/>
              </w:rPr>
              <w:t xml:space="preserve">Chế phẩm Huyết t­ương tươi đông lạnh theo thể tích</w:t>
            </w:r>
          </w:p>
        </w:tc>
        <w:tc>
          <w:tcPr>
            <w:tcW w:w="0" w:type="auto"/>
            <w:shd w:val="clear" w:color="auto" w:fill="auto"/>
            <w:vAlign w:val="center"/>
          </w:tcPr>
          <w:p>
            <w:pPr>
              <w:pStyle w:val="Normal(Web)"/>
              <w:divId w:val="100"/>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101"/>
              <w:jc w:val="center"/>
              <w:rPr>
                <w:vanish w:val="0"/>
              </w:rPr>
            </w:pPr>
            <w:r>
              <w:rPr>
                <w:b/>
              </w:rPr>
              <w:t xml:space="preserve">Giá tối đa (đồng)</w:t>
            </w:r>
          </w:p>
        </w:tc>
      </w:tr>
      <w:tr>
        <w:trPr>
          <w:jc w:val="left"/>
        </w:trPr>
        <w:tc>
          <w:tcPr>
            <w:tcW w:w="0" w:type="auto"/>
            <w:shd w:val="clear" w:color="auto" w:fill="auto"/>
            <w:vAlign w:val="center"/>
          </w:tcPr>
          <w:p>
            <w:pPr>
              <w:pStyle w:val="Normal(Web)"/>
              <w:divId w:val="102"/>
              <w:rPr>
                <w:vanish w:val="0"/>
              </w:rPr>
            </w:pPr>
            <w:r>
              <w:t xml:space="preserve">1</w:t>
            </w:r>
          </w:p>
        </w:tc>
        <w:tc>
          <w:tcPr>
            <w:tcW w:w="0" w:type="auto"/>
            <w:shd w:val="clear" w:color="auto" w:fill="auto"/>
            <w:vAlign w:val="center"/>
          </w:tcPr>
          <w:p>
            <w:pPr>
              <w:pStyle w:val="Normal(Web)"/>
              <w:divId w:val="103"/>
              <w:rPr>
                <w:vanish w:val="0"/>
              </w:rPr>
            </w:pPr>
            <w:r>
              <w:t xml:space="preserve">Huyết tương tươi đông lạnh 30 ml</w:t>
            </w:r>
          </w:p>
        </w:tc>
        <w:tc>
          <w:tcPr>
            <w:tcW w:w="0" w:type="auto"/>
            <w:shd w:val="clear" w:color="auto" w:fill="auto"/>
            <w:vAlign w:val="center"/>
          </w:tcPr>
          <w:p>
            <w:pPr>
              <w:pStyle w:val="Normal(Web)"/>
              <w:divId w:val="104"/>
              <w:jc w:val="center"/>
              <w:rPr>
                <w:vanish w:val="0"/>
              </w:rPr>
            </w:pPr>
            <w:r>
              <w:t xml:space="preserve">30</w:t>
            </w:r>
          </w:p>
        </w:tc>
        <w:tc>
          <w:tcPr>
            <w:tcW w:w="0" w:type="auto"/>
            <w:shd w:val="clear" w:color="auto" w:fill="auto"/>
            <w:vAlign w:val="center"/>
          </w:tcPr>
          <w:p>
            <w:pPr>
              <w:pStyle w:val="Normal(Web)"/>
              <w:divId w:val="105"/>
              <w:jc w:val="center"/>
              <w:rPr>
                <w:vanish w:val="0"/>
              </w:rPr>
            </w:pPr>
            <w:r>
              <w:t xml:space="preserve">60.000</w:t>
            </w:r>
          </w:p>
        </w:tc>
      </w:tr>
      <w:tr>
        <w:trPr>
          <w:jc w:val="left"/>
        </w:trPr>
        <w:tc>
          <w:tcPr>
            <w:tcW w:w="0" w:type="auto"/>
            <w:shd w:val="clear" w:color="auto" w:fill="auto"/>
            <w:vAlign w:val="center"/>
          </w:tcPr>
          <w:p>
            <w:pPr>
              <w:pStyle w:val="Normal(Web)"/>
              <w:divId w:val="106"/>
              <w:rPr>
                <w:vanish w:val="0"/>
              </w:rPr>
            </w:pPr>
            <w:r>
              <w:t xml:space="preserve">2</w:t>
            </w:r>
          </w:p>
        </w:tc>
        <w:tc>
          <w:tcPr>
            <w:tcW w:w="0" w:type="auto"/>
            <w:shd w:val="clear" w:color="auto" w:fill="auto"/>
            <w:vAlign w:val="center"/>
          </w:tcPr>
          <w:p>
            <w:pPr>
              <w:pStyle w:val="Normal(Web)"/>
              <w:divId w:val="107"/>
              <w:rPr>
                <w:vanish w:val="0"/>
              </w:rPr>
            </w:pPr>
            <w:r>
              <w:t xml:space="preserve">Huyết tương tươi đông lạnh 50 ml</w:t>
            </w:r>
          </w:p>
        </w:tc>
        <w:tc>
          <w:tcPr>
            <w:tcW w:w="0" w:type="auto"/>
            <w:shd w:val="clear" w:color="auto" w:fill="auto"/>
            <w:vAlign w:val="center"/>
          </w:tcPr>
          <w:p>
            <w:pPr>
              <w:pStyle w:val="Normal(Web)"/>
              <w:divId w:val="108"/>
              <w:jc w:val="center"/>
              <w:rPr>
                <w:vanish w:val="0"/>
              </w:rPr>
            </w:pPr>
            <w:r>
              <w:t xml:space="preserve">50</w:t>
            </w:r>
          </w:p>
        </w:tc>
        <w:tc>
          <w:tcPr>
            <w:tcW w:w="0" w:type="auto"/>
            <w:shd w:val="clear" w:color="auto" w:fill="auto"/>
            <w:vAlign w:val="center"/>
          </w:tcPr>
          <w:p>
            <w:pPr>
              <w:pStyle w:val="Normal(Web)"/>
              <w:divId w:val="109"/>
              <w:jc w:val="center"/>
              <w:rPr>
                <w:vanish w:val="0"/>
              </w:rPr>
            </w:pPr>
            <w:r>
              <w:t xml:space="preserve">85.000</w:t>
            </w:r>
          </w:p>
        </w:tc>
      </w:tr>
      <w:tr>
        <w:trPr>
          <w:jc w:val="left"/>
        </w:trPr>
        <w:tc>
          <w:tcPr>
            <w:tcW w:w="0" w:type="auto"/>
            <w:shd w:val="clear" w:color="auto" w:fill="auto"/>
            <w:vAlign w:val="center"/>
          </w:tcPr>
          <w:p>
            <w:pPr>
              <w:pStyle w:val="Normal(Web)"/>
              <w:divId w:val="110"/>
              <w:rPr>
                <w:vanish w:val="0"/>
              </w:rPr>
            </w:pPr>
            <w:r>
              <w:t xml:space="preserve">3</w:t>
            </w:r>
          </w:p>
        </w:tc>
        <w:tc>
          <w:tcPr>
            <w:tcW w:w="0" w:type="auto"/>
            <w:shd w:val="clear" w:color="auto" w:fill="auto"/>
            <w:vAlign w:val="center"/>
          </w:tcPr>
          <w:p>
            <w:pPr>
              <w:pStyle w:val="Normal(Web)"/>
              <w:divId w:val="111"/>
              <w:rPr>
                <w:vanish w:val="0"/>
              </w:rPr>
            </w:pPr>
            <w:r>
              <w:t xml:space="preserve">Huyết tương tươi đông lạnh 100 ml</w:t>
            </w:r>
          </w:p>
        </w:tc>
        <w:tc>
          <w:tcPr>
            <w:tcW w:w="0" w:type="auto"/>
            <w:shd w:val="clear" w:color="auto" w:fill="auto"/>
            <w:vAlign w:val="center"/>
          </w:tcPr>
          <w:p>
            <w:pPr>
              <w:pStyle w:val="Normal(Web)"/>
              <w:divId w:val="112"/>
              <w:jc w:val="center"/>
              <w:rPr>
                <w:vanish w:val="0"/>
              </w:rPr>
            </w:pPr>
            <w:r>
              <w:t xml:space="preserve">100</w:t>
            </w:r>
          </w:p>
        </w:tc>
        <w:tc>
          <w:tcPr>
            <w:tcW w:w="0" w:type="auto"/>
            <w:shd w:val="clear" w:color="auto" w:fill="auto"/>
            <w:vAlign w:val="center"/>
          </w:tcPr>
          <w:p>
            <w:pPr>
              <w:pStyle w:val="Normal(Web)"/>
              <w:divId w:val="113"/>
              <w:jc w:val="center"/>
              <w:rPr>
                <w:vanish w:val="0"/>
              </w:rPr>
            </w:pPr>
            <w:r>
              <w:t xml:space="preserve">140.000</w:t>
            </w:r>
          </w:p>
        </w:tc>
      </w:tr>
      <w:tr>
        <w:trPr>
          <w:jc w:val="left"/>
        </w:trPr>
        <w:tc>
          <w:tcPr>
            <w:tcW w:w="0" w:type="auto"/>
            <w:shd w:val="clear" w:color="auto" w:fill="auto"/>
            <w:vAlign w:val="center"/>
          </w:tcPr>
          <w:p>
            <w:pPr>
              <w:pStyle w:val="Normal(Web)"/>
              <w:divId w:val="114"/>
              <w:rPr>
                <w:vanish w:val="0"/>
              </w:rPr>
            </w:pPr>
            <w:r>
              <w:t xml:space="preserve">4</w:t>
            </w:r>
          </w:p>
        </w:tc>
        <w:tc>
          <w:tcPr>
            <w:tcW w:w="0" w:type="auto"/>
            <w:shd w:val="clear" w:color="auto" w:fill="auto"/>
            <w:vAlign w:val="center"/>
          </w:tcPr>
          <w:p>
            <w:pPr>
              <w:pStyle w:val="Normal(Web)"/>
              <w:divId w:val="115"/>
              <w:rPr>
                <w:vanish w:val="0"/>
              </w:rPr>
            </w:pPr>
            <w:r>
              <w:t xml:space="preserve">Huyết tương tươi đông lạnh 150 ml</w:t>
            </w:r>
          </w:p>
        </w:tc>
        <w:tc>
          <w:tcPr>
            <w:tcW w:w="0" w:type="auto"/>
            <w:shd w:val="clear" w:color="auto" w:fill="auto"/>
            <w:vAlign w:val="center"/>
          </w:tcPr>
          <w:p>
            <w:pPr>
              <w:pStyle w:val="Normal(Web)"/>
              <w:divId w:val="116"/>
              <w:jc w:val="center"/>
              <w:rPr>
                <w:vanish w:val="0"/>
              </w:rPr>
            </w:pPr>
            <w:r>
              <w:t xml:space="preserve">150</w:t>
            </w:r>
          </w:p>
        </w:tc>
        <w:tc>
          <w:tcPr>
            <w:tcW w:w="0" w:type="auto"/>
            <w:shd w:val="clear" w:color="auto" w:fill="auto"/>
            <w:vAlign w:val="center"/>
          </w:tcPr>
          <w:p>
            <w:pPr>
              <w:pStyle w:val="Normal(Web)"/>
              <w:divId w:val="117"/>
              <w:jc w:val="center"/>
              <w:rPr>
                <w:vanish w:val="0"/>
              </w:rPr>
            </w:pPr>
            <w:r>
              <w:t xml:space="preserve">155.000</w:t>
            </w:r>
          </w:p>
        </w:tc>
      </w:tr>
      <w:tr>
        <w:trPr>
          <w:jc w:val="left"/>
        </w:trPr>
        <w:tc>
          <w:tcPr>
            <w:tcW w:w="0" w:type="auto"/>
            <w:shd w:val="clear" w:color="auto" w:fill="auto"/>
            <w:vAlign w:val="center"/>
          </w:tcPr>
          <w:p>
            <w:pPr>
              <w:pStyle w:val="Normal(Web)"/>
              <w:divId w:val="118"/>
              <w:rPr>
                <w:vanish w:val="0"/>
              </w:rPr>
            </w:pPr>
            <w:r>
              <w:t xml:space="preserve">5</w:t>
            </w:r>
          </w:p>
        </w:tc>
        <w:tc>
          <w:tcPr>
            <w:tcW w:w="0" w:type="auto"/>
            <w:shd w:val="clear" w:color="auto" w:fill="auto"/>
            <w:vAlign w:val="center"/>
          </w:tcPr>
          <w:p>
            <w:pPr>
              <w:pStyle w:val="Normal(Web)"/>
              <w:divId w:val="119"/>
              <w:rPr>
                <w:vanish w:val="0"/>
              </w:rPr>
            </w:pPr>
            <w:r>
              <w:t xml:space="preserve">Huyết tương tươi đông lạnh 200 ml</w:t>
            </w:r>
          </w:p>
        </w:tc>
        <w:tc>
          <w:tcPr>
            <w:tcW w:w="0" w:type="auto"/>
            <w:shd w:val="clear" w:color="auto" w:fill="auto"/>
            <w:vAlign w:val="center"/>
          </w:tcPr>
          <w:p>
            <w:pPr>
              <w:pStyle w:val="Normal(Web)"/>
              <w:divId w:val="120"/>
              <w:jc w:val="center"/>
              <w:rPr>
                <w:vanish w:val="0"/>
              </w:rPr>
            </w:pPr>
            <w:r>
              <w:t xml:space="preserve">200</w:t>
            </w:r>
          </w:p>
        </w:tc>
        <w:tc>
          <w:tcPr>
            <w:tcW w:w="0" w:type="auto"/>
            <w:shd w:val="clear" w:color="auto" w:fill="auto"/>
            <w:vAlign w:val="center"/>
          </w:tcPr>
          <w:p>
            <w:pPr>
              <w:pStyle w:val="Normal(Web)"/>
              <w:divId w:val="121"/>
              <w:jc w:val="center"/>
              <w:rPr>
                <w:vanish w:val="0"/>
              </w:rPr>
            </w:pPr>
            <w:r>
              <w:t xml:space="preserve">250.000</w:t>
            </w:r>
          </w:p>
        </w:tc>
      </w:tr>
      <w:tr>
        <w:trPr>
          <w:jc w:val="left"/>
        </w:trPr>
        <w:tc>
          <w:tcPr>
            <w:tcW w:w="0" w:type="auto"/>
            <w:shd w:val="clear" w:color="auto" w:fill="auto"/>
            <w:vAlign w:val="center"/>
          </w:tcPr>
          <w:p>
            <w:pPr>
              <w:pStyle w:val="Normal(Web)"/>
              <w:divId w:val="122"/>
              <w:rPr>
                <w:vanish w:val="0"/>
              </w:rPr>
            </w:pPr>
            <w:r>
              <w:t xml:space="preserve">6</w:t>
            </w:r>
          </w:p>
        </w:tc>
        <w:tc>
          <w:tcPr>
            <w:tcW w:w="0" w:type="auto"/>
            <w:shd w:val="clear" w:color="auto" w:fill="auto"/>
            <w:vAlign w:val="center"/>
          </w:tcPr>
          <w:p>
            <w:pPr>
              <w:pStyle w:val="Normal(Web)"/>
              <w:divId w:val="123"/>
              <w:rPr>
                <w:vanish w:val="0"/>
              </w:rPr>
            </w:pPr>
            <w:r>
              <w:t xml:space="preserve">Huyết tương tươi đông lạnh 250 ml</w:t>
            </w:r>
          </w:p>
        </w:tc>
        <w:tc>
          <w:tcPr>
            <w:tcW w:w="0" w:type="auto"/>
            <w:shd w:val="clear" w:color="auto" w:fill="auto"/>
            <w:vAlign w:val="center"/>
          </w:tcPr>
          <w:p>
            <w:pPr>
              <w:pStyle w:val="Normal(Web)"/>
              <w:divId w:val="124"/>
              <w:jc w:val="center"/>
              <w:rPr>
                <w:vanish w:val="0"/>
              </w:rPr>
            </w:pPr>
            <w:r>
              <w:t xml:space="preserve">250</w:t>
            </w:r>
          </w:p>
        </w:tc>
        <w:tc>
          <w:tcPr>
            <w:tcW w:w="0" w:type="auto"/>
            <w:shd w:val="clear" w:color="auto" w:fill="auto"/>
            <w:vAlign w:val="center"/>
          </w:tcPr>
          <w:p>
            <w:pPr>
              <w:pStyle w:val="Normal(Web)"/>
              <w:divId w:val="125"/>
              <w:jc w:val="center"/>
              <w:rPr>
                <w:vanish w:val="0"/>
              </w:rPr>
            </w:pPr>
            <w:r>
              <w:t xml:space="preserve">305.000</w:t>
            </w:r>
          </w:p>
        </w:tc>
      </w:tr>
    </w:tbl>
    <w:p>
      <w:pPr>
        <w:pStyle w:val="Normal(Web)"/>
        <w:divId w:val="126"/>
        <w:rPr>
          <w:vanish w:val="0"/>
        </w:rPr>
      </w:pPr>
      <w:r>
        <w:rPr>
          <w:b/>
        </w:rPr>
        <w:t xml:space="preserve">4. Các chế phẩm huyết tương đông lạnh: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7"/>
              <w:jc w:val="center"/>
              <w:rPr>
                <w:vanish w:val="0"/>
              </w:rPr>
            </w:pPr>
            <w:r>
              <w:rPr>
                <w:b/>
              </w:rPr>
              <w:t xml:space="preserve">STT</w:t>
            </w:r>
          </w:p>
        </w:tc>
        <w:tc>
          <w:tcPr>
            <w:tcW w:w="0" w:type="auto"/>
            <w:shd w:val="clear" w:color="auto" w:fill="auto"/>
            <w:vAlign w:val="center"/>
          </w:tcPr>
          <w:p>
            <w:pPr>
              <w:pStyle w:val="Normal(Web)"/>
              <w:divId w:val="128"/>
              <w:jc w:val="center"/>
              <w:rPr>
                <w:vanish w:val="0"/>
              </w:rPr>
            </w:pPr>
            <w:r>
              <w:rPr>
                <w:b/>
              </w:rPr>
              <w:t xml:space="preserve">Chế phẩm Huyết t­ương đông lạnh theo thể tích</w:t>
            </w:r>
          </w:p>
        </w:tc>
        <w:tc>
          <w:tcPr>
            <w:tcW w:w="0" w:type="auto"/>
            <w:shd w:val="clear" w:color="auto" w:fill="auto"/>
            <w:vAlign w:val="center"/>
          </w:tcPr>
          <w:p>
            <w:pPr>
              <w:pStyle w:val="Normal(Web)"/>
              <w:divId w:val="129"/>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130"/>
              <w:jc w:val="center"/>
              <w:rPr>
                <w:vanish w:val="0"/>
              </w:rPr>
            </w:pPr>
            <w:r>
              <w:rPr>
                <w:b/>
              </w:rPr>
              <w:t xml:space="preserve">Giá tối đa (đồng)</w:t>
            </w:r>
          </w:p>
        </w:tc>
      </w:tr>
      <w:tr>
        <w:trPr>
          <w:jc w:val="left"/>
        </w:trPr>
        <w:tc>
          <w:tcPr>
            <w:tcW w:w="0" w:type="auto"/>
            <w:shd w:val="clear" w:color="auto" w:fill="auto"/>
            <w:vAlign w:val="center"/>
          </w:tcPr>
          <w:p>
            <w:pPr>
              <w:pStyle w:val="Normal(Web)"/>
              <w:divId w:val="131"/>
              <w:rPr>
                <w:vanish w:val="0"/>
              </w:rPr>
            </w:pPr>
            <w:r>
              <w:t xml:space="preserve">1</w:t>
            </w:r>
          </w:p>
        </w:tc>
        <w:tc>
          <w:tcPr>
            <w:tcW w:w="0" w:type="auto"/>
            <w:shd w:val="clear" w:color="auto" w:fill="auto"/>
            <w:vAlign w:val="center"/>
          </w:tcPr>
          <w:p>
            <w:pPr>
              <w:pStyle w:val="Normal(Web)"/>
              <w:divId w:val="132"/>
              <w:rPr>
                <w:vanish w:val="0"/>
              </w:rPr>
            </w:pPr>
            <w:r>
              <w:t xml:space="preserve">Huyết t­ương đông lạnh 30 ml</w:t>
            </w:r>
          </w:p>
        </w:tc>
        <w:tc>
          <w:tcPr>
            <w:tcW w:w="0" w:type="auto"/>
            <w:shd w:val="clear" w:color="auto" w:fill="auto"/>
            <w:vAlign w:val="center"/>
          </w:tcPr>
          <w:p>
            <w:pPr>
              <w:pStyle w:val="Normal(Web)"/>
              <w:divId w:val="133"/>
              <w:jc w:val="center"/>
              <w:rPr>
                <w:vanish w:val="0"/>
              </w:rPr>
            </w:pPr>
            <w:r>
              <w:t xml:space="preserve">30</w:t>
            </w:r>
          </w:p>
        </w:tc>
        <w:tc>
          <w:tcPr>
            <w:tcW w:w="0" w:type="auto"/>
            <w:shd w:val="clear" w:color="auto" w:fill="auto"/>
            <w:vAlign w:val="center"/>
          </w:tcPr>
          <w:p>
            <w:pPr>
              <w:pStyle w:val="Normal(Web)"/>
              <w:divId w:val="134"/>
              <w:jc w:val="center"/>
              <w:rPr>
                <w:vanish w:val="0"/>
              </w:rPr>
            </w:pPr>
            <w:r>
              <w:t xml:space="preserve">50.000</w:t>
            </w:r>
          </w:p>
        </w:tc>
      </w:tr>
      <w:tr>
        <w:trPr>
          <w:jc w:val="left"/>
        </w:trPr>
        <w:tc>
          <w:tcPr>
            <w:tcW w:w="0" w:type="auto"/>
            <w:shd w:val="clear" w:color="auto" w:fill="auto"/>
            <w:vAlign w:val="center"/>
          </w:tcPr>
          <w:p>
            <w:pPr>
              <w:pStyle w:val="Normal(Web)"/>
              <w:divId w:val="135"/>
              <w:rPr>
                <w:vanish w:val="0"/>
              </w:rPr>
            </w:pPr>
            <w:r>
              <w:t xml:space="preserve">2</w:t>
            </w:r>
          </w:p>
        </w:tc>
        <w:tc>
          <w:tcPr>
            <w:tcW w:w="0" w:type="auto"/>
            <w:shd w:val="clear" w:color="auto" w:fill="auto"/>
            <w:vAlign w:val="center"/>
          </w:tcPr>
          <w:p>
            <w:pPr>
              <w:pStyle w:val="Normal(Web)"/>
              <w:divId w:val="136"/>
              <w:rPr>
                <w:vanish w:val="0"/>
              </w:rPr>
            </w:pPr>
            <w:r>
              <w:t xml:space="preserve">Huyết t­ương đông lạnh 50 ml</w:t>
            </w:r>
          </w:p>
        </w:tc>
        <w:tc>
          <w:tcPr>
            <w:tcW w:w="0" w:type="auto"/>
            <w:shd w:val="clear" w:color="auto" w:fill="auto"/>
            <w:vAlign w:val="center"/>
          </w:tcPr>
          <w:p>
            <w:pPr>
              <w:pStyle w:val="Normal(Web)"/>
              <w:divId w:val="137"/>
              <w:jc w:val="center"/>
              <w:rPr>
                <w:vanish w:val="0"/>
              </w:rPr>
            </w:pPr>
            <w:r>
              <w:t xml:space="preserve">50</w:t>
            </w:r>
          </w:p>
        </w:tc>
        <w:tc>
          <w:tcPr>
            <w:tcW w:w="0" w:type="auto"/>
            <w:shd w:val="clear" w:color="auto" w:fill="auto"/>
            <w:vAlign w:val="center"/>
          </w:tcPr>
          <w:p>
            <w:pPr>
              <w:pStyle w:val="Normal(Web)"/>
              <w:divId w:val="138"/>
              <w:jc w:val="center"/>
              <w:rPr>
                <w:vanish w:val="0"/>
              </w:rPr>
            </w:pPr>
            <w:r>
              <w:t xml:space="preserve">70.000</w:t>
            </w:r>
          </w:p>
        </w:tc>
      </w:tr>
      <w:tr>
        <w:trPr>
          <w:jc w:val="left"/>
        </w:trPr>
        <w:tc>
          <w:tcPr>
            <w:tcW w:w="0" w:type="auto"/>
            <w:shd w:val="clear" w:color="auto" w:fill="auto"/>
            <w:vAlign w:val="center"/>
          </w:tcPr>
          <w:p>
            <w:pPr>
              <w:pStyle w:val="Normal(Web)"/>
              <w:divId w:val="139"/>
              <w:rPr>
                <w:vanish w:val="0"/>
              </w:rPr>
            </w:pPr>
            <w:r>
              <w:t xml:space="preserve">3</w:t>
            </w:r>
          </w:p>
        </w:tc>
        <w:tc>
          <w:tcPr>
            <w:tcW w:w="0" w:type="auto"/>
            <w:shd w:val="clear" w:color="auto" w:fill="auto"/>
            <w:vAlign w:val="center"/>
          </w:tcPr>
          <w:p>
            <w:pPr>
              <w:pStyle w:val="Normal(Web)"/>
              <w:divId w:val="140"/>
              <w:rPr>
                <w:vanish w:val="0"/>
              </w:rPr>
            </w:pPr>
            <w:r>
              <w:t xml:space="preserve">Huyết t­ương đông lạnh 100 ml</w:t>
            </w:r>
          </w:p>
        </w:tc>
        <w:tc>
          <w:tcPr>
            <w:tcW w:w="0" w:type="auto"/>
            <w:shd w:val="clear" w:color="auto" w:fill="auto"/>
            <w:vAlign w:val="center"/>
          </w:tcPr>
          <w:p>
            <w:pPr>
              <w:pStyle w:val="Normal(Web)"/>
              <w:divId w:val="141"/>
              <w:jc w:val="center"/>
              <w:rPr>
                <w:vanish w:val="0"/>
              </w:rPr>
            </w:pPr>
            <w:r>
              <w:t xml:space="preserve">100</w:t>
            </w:r>
          </w:p>
        </w:tc>
        <w:tc>
          <w:tcPr>
            <w:tcW w:w="0" w:type="auto"/>
            <w:shd w:val="clear" w:color="auto" w:fill="auto"/>
            <w:vAlign w:val="center"/>
          </w:tcPr>
          <w:p>
            <w:pPr>
              <w:pStyle w:val="Normal(Web)"/>
              <w:divId w:val="142"/>
              <w:jc w:val="center"/>
              <w:rPr>
                <w:vanish w:val="0"/>
              </w:rPr>
            </w:pPr>
            <w:r>
              <w:t xml:space="preserve">105.000</w:t>
            </w:r>
          </w:p>
        </w:tc>
      </w:tr>
      <w:tr>
        <w:trPr>
          <w:jc w:val="left"/>
        </w:trPr>
        <w:tc>
          <w:tcPr>
            <w:tcW w:w="0" w:type="auto"/>
            <w:shd w:val="clear" w:color="auto" w:fill="auto"/>
            <w:vAlign w:val="center"/>
          </w:tcPr>
          <w:p>
            <w:pPr>
              <w:pStyle w:val="Normal(Web)"/>
              <w:divId w:val="143"/>
              <w:rPr>
                <w:vanish w:val="0"/>
              </w:rPr>
            </w:pPr>
            <w:r>
              <w:t xml:space="preserve">4</w:t>
            </w:r>
          </w:p>
        </w:tc>
        <w:tc>
          <w:tcPr>
            <w:tcW w:w="0" w:type="auto"/>
            <w:shd w:val="clear" w:color="auto" w:fill="auto"/>
            <w:vAlign w:val="center"/>
          </w:tcPr>
          <w:p>
            <w:pPr>
              <w:pStyle w:val="Normal(Web)"/>
              <w:divId w:val="144"/>
              <w:rPr>
                <w:vanish w:val="0"/>
              </w:rPr>
            </w:pPr>
            <w:r>
              <w:t xml:space="preserve">Huyết t­ương đông lạnh 150 ml</w:t>
            </w:r>
          </w:p>
        </w:tc>
        <w:tc>
          <w:tcPr>
            <w:tcW w:w="0" w:type="auto"/>
            <w:shd w:val="clear" w:color="auto" w:fill="auto"/>
            <w:vAlign w:val="center"/>
          </w:tcPr>
          <w:p>
            <w:pPr>
              <w:pStyle w:val="Normal(Web)"/>
              <w:divId w:val="145"/>
              <w:jc w:val="center"/>
              <w:rPr>
                <w:vanish w:val="0"/>
              </w:rPr>
            </w:pPr>
            <w:r>
              <w:t xml:space="preserve">150</w:t>
            </w:r>
          </w:p>
        </w:tc>
        <w:tc>
          <w:tcPr>
            <w:tcW w:w="0" w:type="auto"/>
            <w:shd w:val="clear" w:color="auto" w:fill="auto"/>
            <w:vAlign w:val="center"/>
          </w:tcPr>
          <w:p>
            <w:pPr>
              <w:pStyle w:val="Normal(Web)"/>
              <w:divId w:val="146"/>
              <w:jc w:val="center"/>
              <w:rPr>
                <w:vanish w:val="0"/>
              </w:rPr>
            </w:pPr>
            <w:r>
              <w:t xml:space="preserve">145.000</w:t>
            </w:r>
          </w:p>
        </w:tc>
      </w:tr>
      <w:tr>
        <w:trPr>
          <w:jc w:val="left"/>
        </w:trPr>
        <w:tc>
          <w:tcPr>
            <w:tcW w:w="0" w:type="auto"/>
            <w:shd w:val="clear" w:color="auto" w:fill="auto"/>
            <w:vAlign w:val="center"/>
          </w:tcPr>
          <w:p>
            <w:pPr>
              <w:pStyle w:val="Normal(Web)"/>
              <w:divId w:val="147"/>
              <w:rPr>
                <w:vanish w:val="0"/>
              </w:rPr>
            </w:pPr>
            <w:r>
              <w:t xml:space="preserve">5</w:t>
            </w:r>
          </w:p>
        </w:tc>
        <w:tc>
          <w:tcPr>
            <w:tcW w:w="0" w:type="auto"/>
            <w:shd w:val="clear" w:color="auto" w:fill="auto"/>
            <w:vAlign w:val="center"/>
          </w:tcPr>
          <w:p>
            <w:pPr>
              <w:pStyle w:val="Normal(Web)"/>
              <w:divId w:val="148"/>
              <w:rPr>
                <w:vanish w:val="0"/>
              </w:rPr>
            </w:pPr>
            <w:r>
              <w:t xml:space="preserve">Huyết t­ương đông lạnh 200 ml</w:t>
            </w:r>
          </w:p>
        </w:tc>
        <w:tc>
          <w:tcPr>
            <w:tcW w:w="0" w:type="auto"/>
            <w:shd w:val="clear" w:color="auto" w:fill="auto"/>
            <w:vAlign w:val="center"/>
          </w:tcPr>
          <w:p>
            <w:pPr>
              <w:pStyle w:val="Normal(Web)"/>
              <w:divId w:val="149"/>
              <w:jc w:val="center"/>
              <w:rPr>
                <w:vanish w:val="0"/>
              </w:rPr>
            </w:pPr>
            <w:r>
              <w:t xml:space="preserve">200</w:t>
            </w:r>
          </w:p>
        </w:tc>
        <w:tc>
          <w:tcPr>
            <w:tcW w:w="0" w:type="auto"/>
            <w:shd w:val="clear" w:color="auto" w:fill="auto"/>
            <w:vAlign w:val="center"/>
          </w:tcPr>
          <w:p>
            <w:pPr>
              <w:pStyle w:val="Normal(Web)"/>
              <w:divId w:val="150"/>
              <w:jc w:val="center"/>
              <w:rPr>
                <w:vanish w:val="0"/>
              </w:rPr>
            </w:pPr>
            <w:r>
              <w:t xml:space="preserve">190.000</w:t>
            </w:r>
          </w:p>
        </w:tc>
      </w:tr>
      <w:tr>
        <w:trPr>
          <w:jc w:val="left"/>
        </w:trPr>
        <w:tc>
          <w:tcPr>
            <w:tcW w:w="0" w:type="auto"/>
            <w:shd w:val="clear" w:color="auto" w:fill="auto"/>
            <w:vAlign w:val="center"/>
          </w:tcPr>
          <w:p>
            <w:pPr>
              <w:pStyle w:val="Normal(Web)"/>
              <w:divId w:val="151"/>
              <w:rPr>
                <w:vanish w:val="0"/>
              </w:rPr>
            </w:pPr>
            <w:r>
              <w:t xml:space="preserve">6</w:t>
            </w:r>
          </w:p>
        </w:tc>
        <w:tc>
          <w:tcPr>
            <w:tcW w:w="0" w:type="auto"/>
            <w:shd w:val="clear" w:color="auto" w:fill="auto"/>
            <w:vAlign w:val="center"/>
          </w:tcPr>
          <w:p>
            <w:pPr>
              <w:pStyle w:val="Normal(Web)"/>
              <w:divId w:val="152"/>
              <w:rPr>
                <w:vanish w:val="0"/>
              </w:rPr>
            </w:pPr>
            <w:r>
              <w:t xml:space="preserve">Huyết t­ương đông lạnh 250 ml</w:t>
            </w:r>
          </w:p>
        </w:tc>
        <w:tc>
          <w:tcPr>
            <w:tcW w:w="0" w:type="auto"/>
            <w:shd w:val="clear" w:color="auto" w:fill="auto"/>
            <w:vAlign w:val="center"/>
          </w:tcPr>
          <w:p>
            <w:pPr>
              <w:pStyle w:val="Normal(Web)"/>
              <w:divId w:val="153"/>
              <w:jc w:val="center"/>
              <w:rPr>
                <w:vanish w:val="0"/>
              </w:rPr>
            </w:pPr>
            <w:r>
              <w:t xml:space="preserve">250</w:t>
            </w:r>
          </w:p>
        </w:tc>
        <w:tc>
          <w:tcPr>
            <w:tcW w:w="0" w:type="auto"/>
            <w:shd w:val="clear" w:color="auto" w:fill="auto"/>
            <w:vAlign w:val="center"/>
          </w:tcPr>
          <w:p>
            <w:pPr>
              <w:pStyle w:val="Normal(Web)"/>
              <w:divId w:val="154"/>
              <w:jc w:val="center"/>
              <w:rPr>
                <w:vanish w:val="0"/>
              </w:rPr>
            </w:pPr>
            <w:r>
              <w:t xml:space="preserve">225.000</w:t>
            </w:r>
          </w:p>
        </w:tc>
      </w:tr>
    </w:tbl>
    <w:p>
      <w:pPr>
        <w:pStyle w:val="Normal(Web)"/>
        <w:divId w:val="155"/>
        <w:rPr>
          <w:vanish w:val="0"/>
        </w:rPr>
      </w:pPr>
      <w:r>
        <w:rPr>
          <w:b/>
        </w:rPr>
        <w:t xml:space="preserve">5. Các chế phẩm huyết tương giàu tiểu cầu: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6"/>
              <w:jc w:val="center"/>
              <w:rPr>
                <w:vanish w:val="0"/>
              </w:rPr>
            </w:pPr>
            <w:r>
              <w:rPr>
                <w:b/>
              </w:rPr>
              <w:t xml:space="preserve">STT</w:t>
            </w:r>
          </w:p>
        </w:tc>
        <w:tc>
          <w:tcPr>
            <w:tcW w:w="0" w:type="auto"/>
            <w:shd w:val="clear" w:color="auto" w:fill="auto"/>
            <w:vAlign w:val="center"/>
          </w:tcPr>
          <w:p>
            <w:pPr>
              <w:pStyle w:val="Normal(Web)"/>
              <w:divId w:val="157"/>
              <w:jc w:val="center"/>
              <w:rPr>
                <w:vanish w:val="0"/>
              </w:rPr>
            </w:pPr>
            <w:r>
              <w:rPr>
                <w:b/>
              </w:rPr>
              <w:t xml:space="preserve">Chế phẩm Huyết t­ương giàu tiểu cầu theo thể tích</w:t>
            </w:r>
          </w:p>
        </w:tc>
        <w:tc>
          <w:tcPr>
            <w:tcW w:w="0" w:type="auto"/>
            <w:shd w:val="clear" w:color="auto" w:fill="auto"/>
            <w:vAlign w:val="center"/>
          </w:tcPr>
          <w:p>
            <w:pPr>
              <w:pStyle w:val="Normal(Web)"/>
              <w:divId w:val="158"/>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159"/>
              <w:jc w:val="center"/>
              <w:rPr>
                <w:vanish w:val="0"/>
              </w:rPr>
            </w:pPr>
            <w:r>
              <w:rPr>
                <w:b/>
              </w:rPr>
              <w:t xml:space="preserve">Giá tối đa (đồng)</w:t>
            </w:r>
          </w:p>
        </w:tc>
      </w:tr>
      <w:tr>
        <w:trPr>
          <w:jc w:val="left"/>
        </w:trPr>
        <w:tc>
          <w:tcPr>
            <w:tcW w:w="0" w:type="auto"/>
            <w:shd w:val="clear" w:color="auto" w:fill="auto"/>
            <w:vAlign w:val="center"/>
          </w:tcPr>
          <w:p>
            <w:pPr>
              <w:pStyle w:val="Normal(Web)"/>
              <w:divId w:val="160"/>
              <w:rPr>
                <w:vanish w:val="0"/>
              </w:rPr>
            </w:pPr>
            <w:r>
              <w:t xml:space="preserve">1</w:t>
            </w:r>
          </w:p>
        </w:tc>
        <w:tc>
          <w:tcPr>
            <w:tcW w:w="0" w:type="auto"/>
            <w:shd w:val="clear" w:color="auto" w:fill="auto"/>
            <w:vAlign w:val="center"/>
          </w:tcPr>
          <w:p>
            <w:pPr>
              <w:pStyle w:val="Normal(Web)"/>
              <w:divId w:val="161"/>
              <w:rPr>
                <w:vanish w:val="0"/>
              </w:rPr>
            </w:pPr>
            <w:r>
              <w:t xml:space="preserve">Huyết t­ương giàu tiểu cầu 100 ml từ 250 ml máu toàn phần</w:t>
            </w:r>
          </w:p>
        </w:tc>
        <w:tc>
          <w:tcPr>
            <w:tcW w:w="0" w:type="auto"/>
            <w:shd w:val="clear" w:color="auto" w:fill="auto"/>
            <w:vAlign w:val="center"/>
          </w:tcPr>
          <w:p>
            <w:pPr>
              <w:pStyle w:val="Normal(Web)"/>
              <w:divId w:val="162"/>
              <w:jc w:val="center"/>
              <w:rPr>
                <w:vanish w:val="0"/>
              </w:rPr>
            </w:pPr>
            <w:r>
              <w:t xml:space="preserve">100</w:t>
            </w:r>
          </w:p>
        </w:tc>
        <w:tc>
          <w:tcPr>
            <w:tcW w:w="0" w:type="auto"/>
            <w:shd w:val="clear" w:color="auto" w:fill="auto"/>
            <w:vAlign w:val="center"/>
          </w:tcPr>
          <w:p>
            <w:pPr>
              <w:pStyle w:val="Normal(Web)"/>
              <w:divId w:val="163"/>
              <w:jc w:val="center"/>
              <w:rPr>
                <w:vanish w:val="0"/>
              </w:rPr>
            </w:pPr>
            <w:r>
              <w:t xml:space="preserve">190.000</w:t>
            </w:r>
          </w:p>
        </w:tc>
      </w:tr>
      <w:tr>
        <w:trPr>
          <w:jc w:val="left"/>
        </w:trPr>
        <w:tc>
          <w:tcPr>
            <w:tcW w:w="0" w:type="auto"/>
            <w:shd w:val="clear" w:color="auto" w:fill="auto"/>
            <w:vAlign w:val="center"/>
          </w:tcPr>
          <w:p>
            <w:pPr>
              <w:pStyle w:val="Normal(Web)"/>
              <w:divId w:val="164"/>
              <w:rPr>
                <w:vanish w:val="0"/>
              </w:rPr>
            </w:pPr>
            <w:r>
              <w:t xml:space="preserve">2</w:t>
            </w:r>
          </w:p>
        </w:tc>
        <w:tc>
          <w:tcPr>
            <w:tcW w:w="0" w:type="auto"/>
            <w:shd w:val="clear" w:color="auto" w:fill="auto"/>
            <w:vAlign w:val="center"/>
          </w:tcPr>
          <w:p>
            <w:pPr>
              <w:pStyle w:val="Normal(Web)"/>
              <w:divId w:val="165"/>
              <w:rPr>
                <w:vanish w:val="0"/>
              </w:rPr>
            </w:pPr>
            <w:r>
              <w:t xml:space="preserve">Huyết t­ương giàu tiểu cầu 150 ml từ 350 ml máu toàn phần</w:t>
            </w:r>
          </w:p>
        </w:tc>
        <w:tc>
          <w:tcPr>
            <w:tcW w:w="0" w:type="auto"/>
            <w:shd w:val="clear" w:color="auto" w:fill="auto"/>
            <w:vAlign w:val="center"/>
          </w:tcPr>
          <w:p>
            <w:pPr>
              <w:pStyle w:val="Normal(Web)"/>
              <w:divId w:val="166"/>
              <w:jc w:val="center"/>
              <w:rPr>
                <w:vanish w:val="0"/>
              </w:rPr>
            </w:pPr>
            <w:r>
              <w:t xml:space="preserve">150</w:t>
            </w:r>
          </w:p>
        </w:tc>
        <w:tc>
          <w:tcPr>
            <w:tcW w:w="0" w:type="auto"/>
            <w:shd w:val="clear" w:color="auto" w:fill="auto"/>
            <w:vAlign w:val="center"/>
          </w:tcPr>
          <w:p>
            <w:pPr>
              <w:pStyle w:val="Normal(Web)"/>
              <w:divId w:val="167"/>
              <w:jc w:val="center"/>
              <w:rPr>
                <w:vanish w:val="0"/>
              </w:rPr>
            </w:pPr>
            <w:r>
              <w:t xml:space="preserve">200.000</w:t>
            </w:r>
          </w:p>
        </w:tc>
      </w:tr>
      <w:tr>
        <w:trPr>
          <w:jc w:val="left"/>
        </w:trPr>
        <w:tc>
          <w:tcPr>
            <w:tcW w:w="0" w:type="auto"/>
            <w:shd w:val="clear" w:color="auto" w:fill="auto"/>
            <w:vAlign w:val="center"/>
          </w:tcPr>
          <w:p>
            <w:pPr>
              <w:pStyle w:val="Normal(Web)"/>
              <w:divId w:val="168"/>
              <w:rPr>
                <w:vanish w:val="0"/>
              </w:rPr>
            </w:pPr>
            <w:r>
              <w:t xml:space="preserve">3</w:t>
            </w:r>
          </w:p>
        </w:tc>
        <w:tc>
          <w:tcPr>
            <w:tcW w:w="0" w:type="auto"/>
            <w:shd w:val="clear" w:color="auto" w:fill="auto"/>
            <w:vAlign w:val="center"/>
          </w:tcPr>
          <w:p>
            <w:pPr>
              <w:pStyle w:val="Normal(Web)"/>
              <w:divId w:val="169"/>
              <w:rPr>
                <w:vanish w:val="0"/>
              </w:rPr>
            </w:pPr>
            <w:r>
              <w:t xml:space="preserve">Huyết t­ương giàu tiểu cầu 200 ml từ 450 ml máu toàn phần</w:t>
            </w:r>
          </w:p>
        </w:tc>
        <w:tc>
          <w:tcPr>
            <w:tcW w:w="0" w:type="auto"/>
            <w:shd w:val="clear" w:color="auto" w:fill="auto"/>
            <w:vAlign w:val="center"/>
          </w:tcPr>
          <w:p>
            <w:pPr>
              <w:pStyle w:val="Normal(Web)"/>
              <w:divId w:val="170"/>
              <w:jc w:val="center"/>
              <w:rPr>
                <w:vanish w:val="0"/>
              </w:rPr>
            </w:pPr>
            <w:r>
              <w:t xml:space="preserve">200</w:t>
            </w:r>
          </w:p>
        </w:tc>
        <w:tc>
          <w:tcPr>
            <w:tcW w:w="0" w:type="auto"/>
            <w:shd w:val="clear" w:color="auto" w:fill="auto"/>
            <w:vAlign w:val="center"/>
          </w:tcPr>
          <w:p>
            <w:pPr>
              <w:pStyle w:val="Normal(Web)"/>
              <w:divId w:val="171"/>
              <w:jc w:val="center"/>
              <w:rPr>
                <w:vanish w:val="0"/>
              </w:rPr>
            </w:pPr>
            <w:r>
              <w:t xml:space="preserve">210.000</w:t>
            </w:r>
          </w:p>
        </w:tc>
      </w:tr>
    </w:tbl>
    <w:p>
      <w:pPr>
        <w:pStyle w:val="Normal(Web)"/>
        <w:divId w:val="172"/>
        <w:rPr>
          <w:vanish w:val="0"/>
        </w:rPr>
      </w:pPr>
      <w:r>
        <w:rPr>
          <w:b/>
        </w:rPr>
        <w:t xml:space="preserve">6. Các chế phẩm khối tiểu cầu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3"/>
              <w:jc w:val="center"/>
              <w:rPr>
                <w:vanish w:val="0"/>
              </w:rPr>
            </w:pPr>
            <w:r>
              <w:rPr>
                <w:b/>
              </w:rPr>
              <w:t xml:space="preserve">STT</w:t>
            </w:r>
          </w:p>
        </w:tc>
        <w:tc>
          <w:tcPr>
            <w:tcW w:w="0" w:type="auto"/>
            <w:shd w:val="clear" w:color="auto" w:fill="auto"/>
            <w:vAlign w:val="center"/>
          </w:tcPr>
          <w:p>
            <w:pPr>
              <w:pStyle w:val="Normal(Web)"/>
              <w:divId w:val="174"/>
              <w:jc w:val="center"/>
              <w:rPr>
                <w:vanish w:val="0"/>
              </w:rPr>
            </w:pPr>
            <w:r>
              <w:rPr>
                <w:b/>
              </w:rPr>
              <w:t xml:space="preserve">Chế phẩm Khối tiểu cầu theo thể tích</w:t>
            </w:r>
          </w:p>
        </w:tc>
        <w:tc>
          <w:tcPr>
            <w:tcW w:w="0" w:type="auto"/>
            <w:shd w:val="clear" w:color="auto" w:fill="auto"/>
            <w:vAlign w:val="center"/>
          </w:tcPr>
          <w:p>
            <w:pPr>
              <w:pStyle w:val="Normal(Web)"/>
              <w:divId w:val="175"/>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176"/>
              <w:jc w:val="center"/>
              <w:rPr>
                <w:vanish w:val="0"/>
              </w:rPr>
            </w:pPr>
            <w:r>
              <w:rPr>
                <w:b/>
              </w:rPr>
              <w:t xml:space="preserve">Giá tối đa (đồng)</w:t>
            </w:r>
          </w:p>
        </w:tc>
      </w:tr>
      <w:tr>
        <w:trPr>
          <w:jc w:val="left"/>
        </w:trPr>
        <w:tc>
          <w:tcPr>
            <w:tcW w:w="0" w:type="auto"/>
            <w:shd w:val="clear" w:color="auto" w:fill="auto"/>
            <w:vAlign w:val="center"/>
          </w:tcPr>
          <w:p>
            <w:pPr>
              <w:pStyle w:val="Normal(Web)"/>
              <w:divId w:val="177"/>
              <w:rPr>
                <w:vanish w:val="0"/>
              </w:rPr>
            </w:pPr>
            <w:r>
              <w:t xml:space="preserve">1</w:t>
            </w:r>
          </w:p>
        </w:tc>
        <w:tc>
          <w:tcPr>
            <w:tcW w:w="0" w:type="auto"/>
            <w:shd w:val="clear" w:color="auto" w:fill="auto"/>
            <w:vAlign w:val="center"/>
          </w:tcPr>
          <w:p>
            <w:pPr>
              <w:pStyle w:val="Normal(Web)"/>
              <w:divId w:val="178"/>
              <w:rPr>
                <w:vanish w:val="0"/>
              </w:rPr>
            </w:pPr>
            <w:r>
              <w:t xml:space="preserve">Khối tiểu cầu 1 đơn vị (từ 250 ml máu toàn phần)</w:t>
            </w:r>
          </w:p>
        </w:tc>
        <w:tc>
          <w:tcPr>
            <w:tcW w:w="0" w:type="auto"/>
            <w:shd w:val="clear" w:color="auto" w:fill="auto"/>
            <w:vAlign w:val="center"/>
          </w:tcPr>
          <w:p>
            <w:pPr>
              <w:pStyle w:val="Normal(Web)"/>
              <w:divId w:val="179"/>
              <w:jc w:val="center"/>
              <w:rPr>
                <w:vanish w:val="0"/>
              </w:rPr>
            </w:pPr>
            <w:r>
              <w:t xml:space="preserve">40</w:t>
            </w:r>
          </w:p>
        </w:tc>
        <w:tc>
          <w:tcPr>
            <w:tcW w:w="0" w:type="auto"/>
            <w:shd w:val="clear" w:color="auto" w:fill="auto"/>
            <w:vAlign w:val="center"/>
          </w:tcPr>
          <w:p>
            <w:pPr>
              <w:pStyle w:val="Normal(Web)"/>
              <w:divId w:val="180"/>
              <w:jc w:val="center"/>
              <w:rPr>
                <w:vanish w:val="0"/>
              </w:rPr>
            </w:pPr>
            <w:r>
              <w:t xml:space="preserve">130.000</w:t>
            </w:r>
          </w:p>
        </w:tc>
      </w:tr>
      <w:tr>
        <w:trPr>
          <w:jc w:val="left"/>
        </w:trPr>
        <w:tc>
          <w:tcPr>
            <w:tcW w:w="0" w:type="auto"/>
            <w:shd w:val="clear" w:color="auto" w:fill="auto"/>
            <w:vAlign w:val="center"/>
          </w:tcPr>
          <w:p>
            <w:pPr>
              <w:pStyle w:val="Normal(Web)"/>
              <w:divId w:val="181"/>
              <w:rPr>
                <w:vanish w:val="0"/>
              </w:rPr>
            </w:pPr>
            <w:r>
              <w:t xml:space="preserve">2</w:t>
            </w:r>
          </w:p>
        </w:tc>
        <w:tc>
          <w:tcPr>
            <w:tcW w:w="0" w:type="auto"/>
            <w:shd w:val="clear" w:color="auto" w:fill="auto"/>
            <w:vAlign w:val="center"/>
          </w:tcPr>
          <w:p>
            <w:pPr>
              <w:pStyle w:val="Normal(Web)"/>
              <w:divId w:val="182"/>
              <w:rPr>
                <w:vanish w:val="0"/>
              </w:rPr>
            </w:pPr>
            <w:r>
              <w:t xml:space="preserve">Khối tiểu cầu 2 đơn vị (từ 500 ml máu toàn phần)</w:t>
            </w:r>
          </w:p>
        </w:tc>
        <w:tc>
          <w:tcPr>
            <w:tcW w:w="0" w:type="auto"/>
            <w:shd w:val="clear" w:color="auto" w:fill="auto"/>
            <w:vAlign w:val="center"/>
          </w:tcPr>
          <w:p>
            <w:pPr>
              <w:pStyle w:val="Normal(Web)"/>
              <w:divId w:val="183"/>
              <w:jc w:val="center"/>
              <w:rPr>
                <w:vanish w:val="0"/>
              </w:rPr>
            </w:pPr>
            <w:r>
              <w:t xml:space="preserve">80</w:t>
            </w:r>
          </w:p>
        </w:tc>
        <w:tc>
          <w:tcPr>
            <w:tcW w:w="0" w:type="auto"/>
            <w:shd w:val="clear" w:color="auto" w:fill="auto"/>
            <w:vAlign w:val="center"/>
          </w:tcPr>
          <w:p>
            <w:pPr>
              <w:pStyle w:val="Normal(Web)"/>
              <w:divId w:val="184"/>
              <w:jc w:val="center"/>
              <w:rPr>
                <w:vanish w:val="0"/>
              </w:rPr>
            </w:pPr>
            <w:r>
              <w:t xml:space="preserve">270.000</w:t>
            </w:r>
          </w:p>
        </w:tc>
      </w:tr>
      <w:tr>
        <w:trPr>
          <w:jc w:val="left"/>
        </w:trPr>
        <w:tc>
          <w:tcPr>
            <w:tcW w:w="0" w:type="auto"/>
            <w:shd w:val="clear" w:color="auto" w:fill="auto"/>
            <w:vAlign w:val="center"/>
          </w:tcPr>
          <w:p>
            <w:pPr>
              <w:pStyle w:val="Normal(Web)"/>
              <w:divId w:val="185"/>
              <w:rPr>
                <w:vanish w:val="0"/>
              </w:rPr>
            </w:pPr>
            <w:r>
              <w:t xml:space="preserve">3</w:t>
            </w:r>
          </w:p>
        </w:tc>
        <w:tc>
          <w:tcPr>
            <w:tcW w:w="0" w:type="auto"/>
            <w:shd w:val="clear" w:color="auto" w:fill="auto"/>
            <w:vAlign w:val="center"/>
          </w:tcPr>
          <w:p>
            <w:pPr>
              <w:pStyle w:val="Normal(Web)"/>
              <w:divId w:val="186"/>
              <w:rPr>
                <w:vanish w:val="0"/>
              </w:rPr>
            </w:pPr>
            <w:r>
              <w:t xml:space="preserve">Khối tiểu cầu 3 đơn vị (từ 750 ml máu toàn phần)</w:t>
            </w:r>
          </w:p>
        </w:tc>
        <w:tc>
          <w:tcPr>
            <w:tcW w:w="0" w:type="auto"/>
            <w:shd w:val="clear" w:color="auto" w:fill="auto"/>
            <w:vAlign w:val="center"/>
          </w:tcPr>
          <w:p>
            <w:pPr>
              <w:pStyle w:val="Normal(Web)"/>
              <w:divId w:val="187"/>
              <w:jc w:val="center"/>
              <w:rPr>
                <w:vanish w:val="0"/>
              </w:rPr>
            </w:pPr>
            <w:r>
              <w:t xml:space="preserve">120</w:t>
            </w:r>
          </w:p>
        </w:tc>
        <w:tc>
          <w:tcPr>
            <w:tcW w:w="0" w:type="auto"/>
            <w:shd w:val="clear" w:color="auto" w:fill="auto"/>
            <w:vAlign w:val="center"/>
          </w:tcPr>
          <w:p>
            <w:pPr>
              <w:pStyle w:val="Normal(Web)"/>
              <w:divId w:val="188"/>
              <w:jc w:val="center"/>
              <w:rPr>
                <w:vanish w:val="0"/>
              </w:rPr>
            </w:pPr>
            <w:r>
              <w:t xml:space="preserve">415.000</w:t>
            </w:r>
          </w:p>
        </w:tc>
      </w:tr>
      <w:tr>
        <w:trPr>
          <w:jc w:val="left"/>
        </w:trPr>
        <w:tc>
          <w:tcPr>
            <w:tcW w:w="0" w:type="auto"/>
            <w:shd w:val="clear" w:color="auto" w:fill="auto"/>
            <w:vAlign w:val="center"/>
          </w:tcPr>
          <w:p>
            <w:pPr>
              <w:pStyle w:val="Normal(Web)"/>
              <w:divId w:val="189"/>
              <w:rPr>
                <w:vanish w:val="0"/>
              </w:rPr>
            </w:pPr>
            <w:r>
              <w:t xml:space="preserve">4</w:t>
            </w:r>
          </w:p>
        </w:tc>
        <w:tc>
          <w:tcPr>
            <w:tcW w:w="0" w:type="auto"/>
            <w:shd w:val="clear" w:color="auto" w:fill="auto"/>
            <w:vAlign w:val="center"/>
          </w:tcPr>
          <w:p>
            <w:pPr>
              <w:pStyle w:val="Normal(Web)"/>
              <w:divId w:val="190"/>
              <w:rPr>
                <w:vanish w:val="0"/>
              </w:rPr>
            </w:pPr>
            <w:r>
              <w:t xml:space="preserve">Khối tiểu cầu 4 đơn vị (từ 1.000 ml máu toàn phần)</w:t>
            </w:r>
          </w:p>
        </w:tc>
        <w:tc>
          <w:tcPr>
            <w:tcW w:w="0" w:type="auto"/>
            <w:shd w:val="clear" w:color="auto" w:fill="auto"/>
            <w:vAlign w:val="center"/>
          </w:tcPr>
          <w:p>
            <w:pPr>
              <w:pStyle w:val="Normal(Web)"/>
              <w:divId w:val="191"/>
              <w:jc w:val="center"/>
              <w:rPr>
                <w:vanish w:val="0"/>
              </w:rPr>
            </w:pPr>
            <w:r>
              <w:t xml:space="preserve">150</w:t>
            </w:r>
          </w:p>
        </w:tc>
        <w:tc>
          <w:tcPr>
            <w:tcW w:w="0" w:type="auto"/>
            <w:shd w:val="clear" w:color="auto" w:fill="auto"/>
            <w:vAlign w:val="center"/>
          </w:tcPr>
          <w:p>
            <w:pPr>
              <w:pStyle w:val="Normal(Web)"/>
              <w:divId w:val="192"/>
              <w:jc w:val="center"/>
              <w:rPr>
                <w:vanish w:val="0"/>
              </w:rPr>
            </w:pPr>
            <w:r>
              <w:t xml:space="preserve">520.000</w:t>
            </w:r>
          </w:p>
        </w:tc>
      </w:tr>
    </w:tbl>
    <w:p>
      <w:pPr>
        <w:pStyle w:val="Normal(Web)"/>
        <w:divId w:val="193"/>
        <w:rPr>
          <w:vanish w:val="0"/>
        </w:rPr>
      </w:pPr>
      <w:r>
        <w:rPr>
          <w:b/>
        </w:rPr>
        <w:t xml:space="preserve">7. Các chế phẩm tủa lạnh: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4"/>
              <w:jc w:val="center"/>
              <w:rPr>
                <w:vanish w:val="0"/>
              </w:rPr>
            </w:pPr>
            <w:r>
              <w:rPr>
                <w:b/>
              </w:rPr>
              <w:t xml:space="preserve">STT</w:t>
            </w:r>
          </w:p>
        </w:tc>
        <w:tc>
          <w:tcPr>
            <w:tcW w:w="0" w:type="auto"/>
            <w:shd w:val="clear" w:color="auto" w:fill="auto"/>
            <w:vAlign w:val="center"/>
          </w:tcPr>
          <w:p>
            <w:pPr>
              <w:pStyle w:val="Normal(Web)"/>
              <w:divId w:val="195"/>
              <w:jc w:val="center"/>
              <w:rPr>
                <w:vanish w:val="0"/>
              </w:rPr>
            </w:pPr>
            <w:r>
              <w:rPr>
                <w:b/>
              </w:rPr>
              <w:t xml:space="preserve">Chế phẩm Tủa lạnh theo thể tích</w:t>
            </w:r>
          </w:p>
        </w:tc>
        <w:tc>
          <w:tcPr>
            <w:tcW w:w="0" w:type="auto"/>
            <w:shd w:val="clear" w:color="auto" w:fill="auto"/>
            <w:vAlign w:val="center"/>
          </w:tcPr>
          <w:p>
            <w:pPr>
              <w:pStyle w:val="Normal(Web)"/>
              <w:divId w:val="196"/>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197"/>
              <w:jc w:val="center"/>
              <w:rPr>
                <w:vanish w:val="0"/>
              </w:rPr>
            </w:pPr>
            <w:r>
              <w:rPr>
                <w:b/>
              </w:rPr>
              <w:t xml:space="preserve">Giá tối đa (đồng)</w:t>
            </w:r>
          </w:p>
        </w:tc>
      </w:tr>
      <w:tr>
        <w:trPr>
          <w:jc w:val="left"/>
        </w:trPr>
        <w:tc>
          <w:tcPr>
            <w:tcW w:w="0" w:type="auto"/>
            <w:shd w:val="clear" w:color="auto" w:fill="auto"/>
            <w:vAlign w:val="center"/>
          </w:tcPr>
          <w:p>
            <w:pPr>
              <w:pStyle w:val="Normal(Web)"/>
              <w:divId w:val="198"/>
              <w:rPr>
                <w:vanish w:val="0"/>
              </w:rPr>
            </w:pPr>
            <w:r>
              <w:t xml:space="preserve">1</w:t>
            </w:r>
          </w:p>
        </w:tc>
        <w:tc>
          <w:tcPr>
            <w:tcW w:w="0" w:type="auto"/>
            <w:shd w:val="clear" w:color="auto" w:fill="auto"/>
            <w:vAlign w:val="center"/>
          </w:tcPr>
          <w:p>
            <w:pPr>
              <w:pStyle w:val="Normal(Web)"/>
              <w:divId w:val="199"/>
              <w:rPr>
                <w:vanish w:val="0"/>
              </w:rPr>
            </w:pPr>
            <w:r>
              <w:t xml:space="preserve">Tủa lạnh thể tích 10 ml (từ 250 ml máu toàn phần)</w:t>
            </w:r>
          </w:p>
        </w:tc>
        <w:tc>
          <w:tcPr>
            <w:tcW w:w="0" w:type="auto"/>
            <w:shd w:val="clear" w:color="auto" w:fill="auto"/>
            <w:vAlign w:val="center"/>
          </w:tcPr>
          <w:p>
            <w:pPr>
              <w:pStyle w:val="Normal(Web)"/>
              <w:divId w:val="200"/>
              <w:jc w:val="center"/>
              <w:rPr>
                <w:vanish w:val="0"/>
              </w:rPr>
            </w:pPr>
            <w:r>
              <w:t xml:space="preserve">10</w:t>
            </w:r>
          </w:p>
        </w:tc>
        <w:tc>
          <w:tcPr>
            <w:tcW w:w="0" w:type="auto"/>
            <w:shd w:val="clear" w:color="auto" w:fill="auto"/>
            <w:vAlign w:val="center"/>
          </w:tcPr>
          <w:p>
            <w:pPr>
              <w:pStyle w:val="Normal(Web)"/>
              <w:divId w:val="201"/>
              <w:jc w:val="center"/>
              <w:rPr>
                <w:vanish w:val="0"/>
              </w:rPr>
            </w:pPr>
            <w:r>
              <w:t xml:space="preserve">75.000</w:t>
            </w:r>
          </w:p>
        </w:tc>
      </w:tr>
      <w:tr>
        <w:trPr>
          <w:jc w:val="left"/>
        </w:trPr>
        <w:tc>
          <w:tcPr>
            <w:tcW w:w="0" w:type="auto"/>
            <w:shd w:val="clear" w:color="auto" w:fill="auto"/>
            <w:vAlign w:val="center"/>
          </w:tcPr>
          <w:p>
            <w:pPr>
              <w:pStyle w:val="Normal(Web)"/>
              <w:divId w:val="202"/>
              <w:rPr>
                <w:vanish w:val="0"/>
              </w:rPr>
            </w:pPr>
            <w:r>
              <w:t xml:space="preserve">2</w:t>
            </w:r>
          </w:p>
        </w:tc>
        <w:tc>
          <w:tcPr>
            <w:tcW w:w="0" w:type="auto"/>
            <w:shd w:val="clear" w:color="auto" w:fill="auto"/>
            <w:vAlign w:val="center"/>
          </w:tcPr>
          <w:p>
            <w:pPr>
              <w:pStyle w:val="Normal(Web)"/>
              <w:divId w:val="203"/>
              <w:rPr>
                <w:vanish w:val="0"/>
              </w:rPr>
            </w:pPr>
            <w:r>
              <w:t xml:space="preserve">Tủa lạnh thể tích 50 ml (từ 1.000 ml máu toàn phần)</w:t>
            </w:r>
          </w:p>
        </w:tc>
        <w:tc>
          <w:tcPr>
            <w:tcW w:w="0" w:type="auto"/>
            <w:shd w:val="clear" w:color="auto" w:fill="auto"/>
            <w:vAlign w:val="center"/>
          </w:tcPr>
          <w:p>
            <w:pPr>
              <w:pStyle w:val="Normal(Web)"/>
              <w:divId w:val="204"/>
              <w:jc w:val="center"/>
              <w:rPr>
                <w:vanish w:val="0"/>
              </w:rPr>
            </w:pPr>
            <w:r>
              <w:t xml:space="preserve">50</w:t>
            </w:r>
          </w:p>
        </w:tc>
        <w:tc>
          <w:tcPr>
            <w:tcW w:w="0" w:type="auto"/>
            <w:shd w:val="clear" w:color="auto" w:fill="auto"/>
            <w:vAlign w:val="center"/>
          </w:tcPr>
          <w:p>
            <w:pPr>
              <w:pStyle w:val="Normal(Web)"/>
              <w:divId w:val="205"/>
              <w:jc w:val="center"/>
              <w:rPr>
                <w:vanish w:val="0"/>
              </w:rPr>
            </w:pPr>
            <w:r>
              <w:t xml:space="preserve">340.000</w:t>
            </w:r>
          </w:p>
        </w:tc>
      </w:tr>
      <w:tr>
        <w:trPr>
          <w:jc w:val="left"/>
        </w:trPr>
        <w:tc>
          <w:tcPr>
            <w:tcW w:w="0" w:type="auto"/>
            <w:shd w:val="clear" w:color="auto" w:fill="auto"/>
            <w:vAlign w:val="center"/>
          </w:tcPr>
          <w:p>
            <w:pPr>
              <w:pStyle w:val="Normal(Web)"/>
              <w:divId w:val="206"/>
              <w:rPr>
                <w:vanish w:val="0"/>
              </w:rPr>
            </w:pPr>
            <w:r>
              <w:t xml:space="preserve">3</w:t>
            </w:r>
          </w:p>
        </w:tc>
        <w:tc>
          <w:tcPr>
            <w:tcW w:w="0" w:type="auto"/>
            <w:shd w:val="clear" w:color="auto" w:fill="auto"/>
            <w:vAlign w:val="center"/>
          </w:tcPr>
          <w:p>
            <w:pPr>
              <w:pStyle w:val="Normal(Web)"/>
              <w:divId w:val="207"/>
              <w:rPr>
                <w:vanish w:val="0"/>
              </w:rPr>
            </w:pPr>
            <w:r>
              <w:t xml:space="preserve">Tủa lạnh thể tích 100 ml (từ 2.000 ml máu toàn phần)</w:t>
            </w:r>
          </w:p>
        </w:tc>
        <w:tc>
          <w:tcPr>
            <w:tcW w:w="0" w:type="auto"/>
            <w:shd w:val="clear" w:color="auto" w:fill="auto"/>
            <w:vAlign w:val="center"/>
          </w:tcPr>
          <w:p>
            <w:pPr>
              <w:pStyle w:val="Normal(Web)"/>
              <w:divId w:val="208"/>
              <w:jc w:val="center"/>
              <w:rPr>
                <w:vanish w:val="0"/>
              </w:rPr>
            </w:pPr>
            <w:r>
              <w:t xml:space="preserve">100</w:t>
            </w:r>
          </w:p>
        </w:tc>
        <w:tc>
          <w:tcPr>
            <w:tcW w:w="0" w:type="auto"/>
            <w:shd w:val="clear" w:color="auto" w:fill="auto"/>
            <w:vAlign w:val="center"/>
          </w:tcPr>
          <w:p>
            <w:pPr>
              <w:pStyle w:val="Normal(Web)"/>
              <w:divId w:val="209"/>
              <w:jc w:val="center"/>
              <w:rPr>
                <w:vanish w:val="0"/>
              </w:rPr>
            </w:pPr>
            <w:r>
              <w:t xml:space="preserve">600.000</w:t>
            </w:r>
          </w:p>
        </w:tc>
      </w:tr>
    </w:tbl>
    <w:p>
      <w:pPr>
        <w:pStyle w:val="Normal(Web)"/>
        <w:divId w:val="210"/>
        <w:rPr>
          <w:vanish w:val="0"/>
        </w:rPr>
      </w:pPr>
      <w:r>
        <w:rPr>
          <w:b/>
        </w:rPr>
        <w:t xml:space="preserve">8. Các khối bạch cầu: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1"/>
              <w:jc w:val="center"/>
              <w:rPr>
                <w:vanish w:val="0"/>
              </w:rPr>
            </w:pPr>
            <w:r>
              <w:rPr>
                <w:b/>
              </w:rPr>
              <w:t xml:space="preserve">STT</w:t>
            </w:r>
          </w:p>
        </w:tc>
        <w:tc>
          <w:tcPr>
            <w:tcW w:w="0" w:type="auto"/>
            <w:shd w:val="clear" w:color="auto" w:fill="auto"/>
            <w:vAlign w:val="center"/>
          </w:tcPr>
          <w:p>
            <w:pPr>
              <w:pStyle w:val="Normal(Web)"/>
              <w:divId w:val="212"/>
              <w:jc w:val="center"/>
              <w:rPr>
                <w:vanish w:val="0"/>
              </w:rPr>
            </w:pPr>
            <w:r>
              <w:rPr>
                <w:b/>
              </w:rPr>
              <w:t xml:space="preserve">Chế phẩm Khối bạch cầu theo thể tích</w:t>
            </w:r>
          </w:p>
        </w:tc>
        <w:tc>
          <w:tcPr>
            <w:tcW w:w="0" w:type="auto"/>
            <w:shd w:val="clear" w:color="auto" w:fill="auto"/>
            <w:vAlign w:val="center"/>
          </w:tcPr>
          <w:p>
            <w:pPr>
              <w:pStyle w:val="Normal(Web)"/>
              <w:divId w:val="213"/>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214"/>
              <w:jc w:val="center"/>
              <w:rPr>
                <w:vanish w:val="0"/>
              </w:rPr>
            </w:pPr>
            <w:r>
              <w:rPr>
                <w:b/>
              </w:rPr>
              <w:t xml:space="preserve">Giá tối đa (đồng)</w:t>
            </w:r>
          </w:p>
        </w:tc>
      </w:tr>
      <w:tr>
        <w:trPr>
          <w:jc w:val="left"/>
        </w:trPr>
        <w:tc>
          <w:tcPr>
            <w:tcW w:w="0" w:type="auto"/>
            <w:shd w:val="clear" w:color="auto" w:fill="auto"/>
            <w:vAlign w:val="center"/>
          </w:tcPr>
          <w:p>
            <w:pPr>
              <w:pStyle w:val="Normal(Web)"/>
              <w:divId w:val="215"/>
              <w:rPr>
                <w:vanish w:val="0"/>
              </w:rPr>
            </w:pPr>
            <w:r>
              <w:t xml:space="preserve">1</w:t>
            </w:r>
          </w:p>
        </w:tc>
        <w:tc>
          <w:tcPr>
            <w:tcW w:w="0" w:type="auto"/>
            <w:shd w:val="clear" w:color="auto" w:fill="auto"/>
            <w:vAlign w:val="center"/>
          </w:tcPr>
          <w:p>
            <w:pPr>
              <w:pStyle w:val="Normal(Web)"/>
              <w:divId w:val="216"/>
              <w:rPr>
                <w:vanish w:val="0"/>
              </w:rPr>
            </w:pPr>
            <w:r>
              <w:t xml:space="preserve">Khối bạch cầu hạt pool (5x10</w:t>
            </w:r>
            <w:r>
              <w:rPr>
                <w:b/>
                <w:vertAlign w:val="superscript"/>
              </w:rPr>
              <w:t xml:space="preserve">9</w:t>
            </w:r>
            <w:r>
              <w:t xml:space="preserve">BC)</w:t>
            </w:r>
          </w:p>
        </w:tc>
        <w:tc>
          <w:tcPr>
            <w:tcW w:w="0" w:type="auto"/>
            <w:shd w:val="clear" w:color="auto" w:fill="auto"/>
            <w:vAlign w:val="center"/>
          </w:tcPr>
          <w:p>
            <w:pPr>
              <w:pStyle w:val="Normal(Web)"/>
              <w:divId w:val="217"/>
              <w:jc w:val="center"/>
              <w:rPr>
                <w:vanish w:val="0"/>
              </w:rPr>
            </w:pPr>
            <w:r>
              <w:t xml:space="preserve">125</w:t>
            </w:r>
          </w:p>
        </w:tc>
        <w:tc>
          <w:tcPr>
            <w:tcW w:w="0" w:type="auto"/>
            <w:shd w:val="clear" w:color="auto" w:fill="auto"/>
            <w:vAlign w:val="center"/>
          </w:tcPr>
          <w:p>
            <w:pPr>
              <w:pStyle w:val="Normal(Web)"/>
              <w:divId w:val="218"/>
              <w:jc w:val="center"/>
              <w:rPr>
                <w:vanish w:val="0"/>
              </w:rPr>
            </w:pPr>
            <w:r>
              <w:t xml:space="preserve">320.000</w:t>
            </w:r>
          </w:p>
        </w:tc>
      </w:tr>
      <w:tr>
        <w:trPr>
          <w:jc w:val="left"/>
        </w:trPr>
        <w:tc>
          <w:tcPr>
            <w:tcW w:w="0" w:type="auto"/>
            <w:shd w:val="clear" w:color="auto" w:fill="auto"/>
            <w:vAlign w:val="center"/>
          </w:tcPr>
          <w:p>
            <w:pPr>
              <w:pStyle w:val="Normal(Web)"/>
              <w:divId w:val="219"/>
              <w:rPr>
                <w:vanish w:val="0"/>
              </w:rPr>
            </w:pPr>
            <w:r>
              <w:t xml:space="preserve">2</w:t>
            </w:r>
          </w:p>
        </w:tc>
        <w:tc>
          <w:tcPr>
            <w:tcW w:w="0" w:type="auto"/>
            <w:shd w:val="clear" w:color="auto" w:fill="auto"/>
            <w:vAlign w:val="center"/>
          </w:tcPr>
          <w:p>
            <w:pPr>
              <w:pStyle w:val="Normal(Web)"/>
              <w:divId w:val="220"/>
              <w:rPr>
                <w:vanish w:val="0"/>
              </w:rPr>
            </w:pPr>
            <w:r>
              <w:t xml:space="preserve">Khối bạch cầu hạt pool (10x10</w:t>
            </w:r>
            <w:r>
              <w:rPr>
                <w:vertAlign w:val="superscript"/>
              </w:rPr>
              <w:t xml:space="preserve">9</w:t>
            </w:r>
            <w:r>
              <w:t xml:space="preserve"> BC)</w:t>
            </w:r>
          </w:p>
        </w:tc>
        <w:tc>
          <w:tcPr>
            <w:tcW w:w="0" w:type="auto"/>
            <w:shd w:val="clear" w:color="auto" w:fill="auto"/>
            <w:vAlign w:val="center"/>
          </w:tcPr>
          <w:p>
            <w:pPr>
              <w:pStyle w:val="Normal(Web)"/>
              <w:divId w:val="221"/>
              <w:jc w:val="center"/>
              <w:rPr>
                <w:vanish w:val="0"/>
              </w:rPr>
            </w:pPr>
            <w:r>
              <w:t xml:space="preserve">250</w:t>
            </w:r>
          </w:p>
        </w:tc>
        <w:tc>
          <w:tcPr>
            <w:tcW w:w="0" w:type="auto"/>
            <w:shd w:val="clear" w:color="auto" w:fill="auto"/>
            <w:vAlign w:val="center"/>
          </w:tcPr>
          <w:p>
            <w:pPr>
              <w:pStyle w:val="Normal(Web)"/>
              <w:divId w:val="222"/>
              <w:jc w:val="center"/>
              <w:rPr>
                <w:vanish w:val="0"/>
              </w:rPr>
            </w:pPr>
            <w:r>
              <w:t xml:space="preserve">640.000</w:t>
            </w:r>
          </w:p>
        </w:tc>
      </w:tr>
    </w:tbl>
    <w:p>
      <w:pPr>
        <w:pStyle w:val="Normal(Web)"/>
        <w:divId w:val="223"/>
        <w:rPr>
          <w:vanish w:val="0"/>
        </w:rPr>
      </w:pPr>
      <w:r>
        <w:rPr>
          <w:b/>
        </w:rPr>
        <w:t xml:space="preserve">9. Các chế phẩm có sử dụng dụng cụ, vật tư bổ sung: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4"/>
              <w:jc w:val="center"/>
              <w:rPr>
                <w:vanish w:val="0"/>
              </w:rPr>
            </w:pPr>
            <w:r>
              <w:rPr>
                <w:b/>
              </w:rPr>
              <w:t xml:space="preserve">STT</w:t>
            </w:r>
          </w:p>
        </w:tc>
        <w:tc>
          <w:tcPr>
            <w:tcW w:w="0" w:type="auto"/>
            <w:shd w:val="clear" w:color="auto" w:fill="auto"/>
            <w:vAlign w:val="center"/>
          </w:tcPr>
          <w:p>
            <w:pPr>
              <w:pStyle w:val="Normal(Web)"/>
              <w:divId w:val="225"/>
              <w:jc w:val="center"/>
              <w:rPr>
                <w:vanish w:val="0"/>
              </w:rPr>
            </w:pPr>
            <w:r>
              <w:rPr>
                <w:b/>
              </w:rPr>
              <w:t xml:space="preserve">Chế phẩm theo thể tích</w:t>
            </w:r>
          </w:p>
        </w:tc>
        <w:tc>
          <w:tcPr>
            <w:tcW w:w="0" w:type="auto"/>
            <w:shd w:val="clear" w:color="auto" w:fill="auto"/>
            <w:vAlign w:val="center"/>
          </w:tcPr>
          <w:p>
            <w:pPr>
              <w:pStyle w:val="Normal(Web)"/>
              <w:divId w:val="226"/>
              <w:jc w:val="center"/>
              <w:rPr>
                <w:vanish w:val="0"/>
              </w:rPr>
            </w:pPr>
            <w:r>
              <w:rPr>
                <w:b/>
              </w:rPr>
              <w:t xml:space="preserve">Thể tích thực (ml) (</w:t>
            </w:r>
            <w:r>
              <w:rPr>
                <w:b/>
                <w:u w:val="single"/>
              </w:rPr>
              <w:t xml:space="preserve">+</w:t>
            </w:r>
            <w:r>
              <w:rPr>
                <w:b/>
              </w:rPr>
              <w:t xml:space="preserve">10%)</w:t>
            </w:r>
          </w:p>
        </w:tc>
        <w:tc>
          <w:tcPr>
            <w:tcW w:w="0" w:type="auto"/>
            <w:shd w:val="clear" w:color="auto" w:fill="auto"/>
            <w:vAlign w:val="center"/>
          </w:tcPr>
          <w:p>
            <w:pPr>
              <w:pStyle w:val="Normal(Web)"/>
              <w:divId w:val="227"/>
              <w:jc w:val="center"/>
              <w:rPr>
                <w:vanish w:val="0"/>
              </w:rPr>
            </w:pPr>
            <w:r>
              <w:rPr>
                <w:b/>
              </w:rPr>
              <w:t xml:space="preserve">Giá tối đa (đồng)</w:t>
            </w:r>
          </w:p>
        </w:tc>
      </w:tr>
      <w:tr>
        <w:trPr>
          <w:jc w:val="left"/>
        </w:trPr>
        <w:tc>
          <w:tcPr>
            <w:tcW w:w="0" w:type="auto"/>
            <w:shd w:val="clear" w:color="auto" w:fill="auto"/>
            <w:vAlign w:val="center"/>
          </w:tcPr>
          <w:p>
            <w:pPr>
              <w:pStyle w:val="Normal(Web)"/>
              <w:divId w:val="228"/>
              <w:rPr>
                <w:vanish w:val="0"/>
              </w:rPr>
            </w:pPr>
            <w:r>
              <w:t xml:space="preserve">1</w:t>
            </w:r>
          </w:p>
        </w:tc>
        <w:tc>
          <w:tcPr>
            <w:tcW w:w="0" w:type="auto"/>
            <w:shd w:val="clear" w:color="auto" w:fill="auto"/>
            <w:vAlign w:val="center"/>
          </w:tcPr>
          <w:p>
            <w:pPr>
              <w:pStyle w:val="Normal(Web)"/>
              <w:divId w:val="229"/>
              <w:rPr>
                <w:vanish w:val="0"/>
              </w:rPr>
            </w:pPr>
            <w:r>
              <w:t xml:space="preserve">Khối tiểu cầu 8 đơn vị (từ 2.000 ml máu toàn phần) (chưa bao gồm túi pool và lọc bạch cầu)</w:t>
            </w:r>
          </w:p>
        </w:tc>
        <w:tc>
          <w:tcPr>
            <w:tcW w:w="0" w:type="auto"/>
            <w:shd w:val="clear" w:color="auto" w:fill="auto"/>
            <w:vAlign w:val="center"/>
          </w:tcPr>
          <w:p>
            <w:pPr>
              <w:pStyle w:val="Normal(Web)"/>
              <w:divId w:val="230"/>
              <w:jc w:val="center"/>
              <w:rPr>
                <w:vanish w:val="0"/>
              </w:rPr>
            </w:pPr>
            <w:r>
              <w:t xml:space="preserve">250</w:t>
            </w:r>
          </w:p>
        </w:tc>
        <w:tc>
          <w:tcPr>
            <w:tcW w:w="0" w:type="auto"/>
            <w:shd w:val="clear" w:color="auto" w:fill="auto"/>
            <w:vAlign w:val="center"/>
          </w:tcPr>
          <w:p>
            <w:pPr>
              <w:pStyle w:val="Normal(Web)"/>
              <w:divId w:val="231"/>
              <w:jc w:val="center"/>
              <w:rPr>
                <w:vanish w:val="0"/>
              </w:rPr>
            </w:pPr>
            <w:r>
              <w:t xml:space="preserve">1.030.000</w:t>
            </w:r>
          </w:p>
        </w:tc>
      </w:tr>
      <w:tr>
        <w:trPr>
          <w:jc w:val="left"/>
        </w:trPr>
        <w:tc>
          <w:tcPr>
            <w:tcW w:w="0" w:type="auto"/>
            <w:shd w:val="clear" w:color="auto" w:fill="auto"/>
            <w:vAlign w:val="center"/>
          </w:tcPr>
          <w:p>
            <w:pPr>
              <w:pStyle w:val="Normal(Web)"/>
              <w:divId w:val="232"/>
              <w:rPr>
                <w:vanish w:val="0"/>
              </w:rPr>
            </w:pPr>
            <w:r>
              <w:t xml:space="preserve">2</w:t>
            </w:r>
          </w:p>
        </w:tc>
        <w:tc>
          <w:tcPr>
            <w:tcW w:w="0" w:type="auto"/>
            <w:shd w:val="clear" w:color="auto" w:fill="auto"/>
            <w:vAlign w:val="center"/>
          </w:tcPr>
          <w:p>
            <w:pPr>
              <w:pStyle w:val="Normal(Web)"/>
              <w:divId w:val="233"/>
              <w:rPr>
                <w:vanish w:val="0"/>
              </w:rPr>
            </w:pPr>
            <w:r>
              <w:t xml:space="preserve">Tủa lạnh yếu tố VIII bất hoạt virus (chưa bao gồm kít bất hoạt virus)</w:t>
            </w:r>
          </w:p>
        </w:tc>
        <w:tc>
          <w:tcPr>
            <w:tcW w:w="0" w:type="auto"/>
            <w:shd w:val="clear" w:color="auto" w:fill="auto"/>
            <w:vAlign w:val="center"/>
          </w:tcPr>
          <w:p>
            <w:pPr>
              <w:pStyle w:val="Normal(Web)"/>
              <w:divId w:val="234"/>
              <w:jc w:val="center"/>
              <w:rPr>
                <w:vanish w:val="0"/>
              </w:rPr>
            </w:pPr>
            <w:r>
              <w:t xml:space="preserve">50</w:t>
            </w:r>
          </w:p>
        </w:tc>
        <w:tc>
          <w:tcPr>
            <w:tcW w:w="0" w:type="auto"/>
            <w:shd w:val="clear" w:color="auto" w:fill="auto"/>
            <w:vAlign w:val="center"/>
          </w:tcPr>
          <w:p>
            <w:pPr>
              <w:pStyle w:val="Normal(Web)"/>
              <w:divId w:val="235"/>
              <w:jc w:val="center"/>
              <w:rPr>
                <w:vanish w:val="0"/>
              </w:rPr>
            </w:pPr>
            <w:r>
              <w:t xml:space="preserve">675.000</w:t>
            </w:r>
          </w:p>
        </w:tc>
      </w:tr>
      <w:tr>
        <w:trPr>
          <w:jc w:val="left"/>
        </w:trPr>
        <w:tc>
          <w:tcPr>
            <w:tcW w:w="0" w:type="auto"/>
            <w:shd w:val="clear" w:color="auto" w:fill="auto"/>
            <w:vAlign w:val="center"/>
          </w:tcPr>
          <w:p>
            <w:pPr>
              <w:pStyle w:val="Normal(Web)"/>
              <w:divId w:val="236"/>
              <w:rPr>
                <w:vanish w:val="0"/>
              </w:rPr>
            </w:pPr>
            <w:r>
              <w:t xml:space="preserve">3</w:t>
            </w:r>
          </w:p>
        </w:tc>
        <w:tc>
          <w:tcPr>
            <w:tcW w:w="0" w:type="auto"/>
            <w:shd w:val="clear" w:color="auto" w:fill="auto"/>
            <w:vAlign w:val="center"/>
          </w:tcPr>
          <w:p>
            <w:pPr>
              <w:pStyle w:val="Normal(Web)"/>
              <w:divId w:val="237"/>
              <w:rPr>
                <w:vanish w:val="0"/>
              </w:rPr>
            </w:pPr>
            <w:r>
              <w:t xml:space="preserve">Chi phí điều chế Khối bạch cầu hạt gạn tách (ch­ưa bao gồm bộ dụng cụ gạn tách)</w:t>
            </w:r>
          </w:p>
        </w:tc>
        <w:tc>
          <w:tcPr>
            <w:tcW w:w="0" w:type="auto"/>
            <w:shd w:val="clear" w:color="auto" w:fill="auto"/>
            <w:vAlign w:val="center"/>
          </w:tcPr>
          <w:p>
            <w:pPr>
              <w:pStyle w:val="Normal(Web)"/>
              <w:divId w:val="238"/>
              <w:jc w:val="center"/>
              <w:rPr>
                <w:vanish w:val="0"/>
              </w:rPr>
            </w:pPr>
            <w:r>
              <w:t xml:space="preserve">250</w:t>
            </w:r>
          </w:p>
        </w:tc>
        <w:tc>
          <w:tcPr>
            <w:tcW w:w="0" w:type="auto"/>
            <w:shd w:val="clear" w:color="auto" w:fill="auto"/>
            <w:vAlign w:val="center"/>
          </w:tcPr>
          <w:p>
            <w:pPr>
              <w:pStyle w:val="Normal(Web)"/>
              <w:divId w:val="239"/>
              <w:jc w:val="center"/>
              <w:rPr>
                <w:vanish w:val="0"/>
              </w:rPr>
            </w:pPr>
            <w:r>
              <w:t xml:space="preserve">815.000</w:t>
            </w:r>
          </w:p>
        </w:tc>
      </w:tr>
      <w:tr>
        <w:trPr>
          <w:jc w:val="left"/>
        </w:trPr>
        <w:tc>
          <w:tcPr>
            <w:tcW w:w="0" w:type="auto"/>
            <w:shd w:val="clear" w:color="auto" w:fill="auto"/>
            <w:vAlign w:val="center"/>
          </w:tcPr>
          <w:p>
            <w:pPr>
              <w:pStyle w:val="Normal(Web)"/>
              <w:divId w:val="240"/>
              <w:rPr>
                <w:vanish w:val="0"/>
              </w:rPr>
            </w:pPr>
            <w:r>
              <w:t xml:space="preserve">4</w:t>
            </w:r>
          </w:p>
        </w:tc>
        <w:tc>
          <w:tcPr>
            <w:tcW w:w="0" w:type="auto"/>
            <w:shd w:val="clear" w:color="auto" w:fill="auto"/>
            <w:vAlign w:val="center"/>
          </w:tcPr>
          <w:p>
            <w:pPr>
              <w:pStyle w:val="Normal(Web)"/>
              <w:divId w:val="241"/>
              <w:rPr>
                <w:vanish w:val="0"/>
              </w:rPr>
            </w:pPr>
            <w:r>
              <w:t xml:space="preserve">Chi phí điều chế Khối tiểu cầu gạn tách (ch­ưa bao gồm bộ dụng cụ gạn tách)</w:t>
            </w:r>
          </w:p>
        </w:tc>
        <w:tc>
          <w:tcPr>
            <w:tcW w:w="0" w:type="auto"/>
            <w:shd w:val="clear" w:color="auto" w:fill="auto"/>
            <w:vAlign w:val="center"/>
          </w:tcPr>
          <w:p>
            <w:pPr>
              <w:pStyle w:val="Normal(Web)"/>
              <w:divId w:val="242"/>
              <w:jc w:val="center"/>
              <w:rPr>
                <w:vanish w:val="0"/>
              </w:rPr>
            </w:pPr>
            <w:r>
              <w:t xml:space="preserve">250</w:t>
            </w:r>
          </w:p>
        </w:tc>
        <w:tc>
          <w:tcPr>
            <w:tcW w:w="0" w:type="auto"/>
            <w:shd w:val="clear" w:color="auto" w:fill="auto"/>
            <w:vAlign w:val="center"/>
          </w:tcPr>
          <w:p>
            <w:pPr>
              <w:pStyle w:val="Normal(Web)"/>
              <w:divId w:val="243"/>
              <w:jc w:val="center"/>
              <w:rPr>
                <w:vanish w:val="0"/>
              </w:rPr>
            </w:pPr>
            <w:r>
              <w:t xml:space="preserve">815.000</w:t>
            </w:r>
          </w:p>
        </w:tc>
      </w:tr>
      <w:tr>
        <w:trPr>
          <w:jc w:val="left"/>
        </w:trPr>
        <w:tc>
          <w:tcPr>
            <w:tcW w:w="0" w:type="auto"/>
            <w:shd w:val="clear" w:color="auto" w:fill="auto"/>
            <w:vAlign w:val="center"/>
          </w:tcPr>
          <w:p>
            <w:pPr>
              <w:pStyle w:val="Normal(Web)"/>
              <w:divId w:val="244"/>
              <w:rPr>
                <w:vanish w:val="0"/>
              </w:rPr>
            </w:pPr>
            <w:r>
              <w:t xml:space="preserve">5</w:t>
            </w:r>
          </w:p>
        </w:tc>
        <w:tc>
          <w:tcPr>
            <w:tcW w:w="0" w:type="auto"/>
            <w:shd w:val="clear" w:color="auto" w:fill="auto"/>
            <w:vAlign w:val="center"/>
          </w:tcPr>
          <w:p>
            <w:pPr>
              <w:pStyle w:val="Normal(Web)"/>
              <w:divId w:val="245"/>
              <w:rPr>
                <w:vanish w:val="0"/>
              </w:rPr>
            </w:pPr>
            <w:r>
              <w:t xml:space="preserve">Chi phí điều chế Khối tiểu cầu gạn tách (ch­ưa bao gồm bộ dụng cụ gạn tách)</w:t>
            </w:r>
          </w:p>
        </w:tc>
        <w:tc>
          <w:tcPr>
            <w:tcW w:w="0" w:type="auto"/>
            <w:shd w:val="clear" w:color="auto" w:fill="auto"/>
            <w:vAlign w:val="center"/>
          </w:tcPr>
          <w:p>
            <w:pPr>
              <w:pStyle w:val="Normal(Web)"/>
              <w:divId w:val="246"/>
              <w:jc w:val="center"/>
              <w:rPr>
                <w:vanish w:val="0"/>
              </w:rPr>
            </w:pPr>
            <w:r>
              <w:t xml:space="preserve">120</w:t>
            </w:r>
          </w:p>
        </w:tc>
        <w:tc>
          <w:tcPr>
            <w:tcW w:w="0" w:type="auto"/>
            <w:shd w:val="clear" w:color="auto" w:fill="auto"/>
            <w:vAlign w:val="center"/>
          </w:tcPr>
          <w:p>
            <w:pPr>
              <w:pStyle w:val="Normal(Web)"/>
              <w:divId w:val="247"/>
              <w:jc w:val="center"/>
              <w:rPr>
                <w:vanish w:val="0"/>
              </w:rPr>
            </w:pPr>
            <w:r>
              <w:t xml:space="preserve">460.000</w:t>
            </w:r>
          </w:p>
        </w:tc>
      </w:tr>
    </w:tbl>
    <w:p>
      <w:pPr>
        <w:pStyle w:val="Normal(Web)"/>
        <w:divId w:val="248"/>
        <w:rPr>
          <w:vanish w:val="0"/>
        </w:rPr>
      </w:pPr>
      <w:r>
        <w:rPr>
          <w:b/>
        </w:rPr>
        <w:t xml:space="preserve">10. Mức giá tối đa quy định tại các khoản 1, 2, 3, 4, 5, 6, 7, 8 và 9 Điều này không bao gồm các chi phí sau:</w:t>
      </w:r>
    </w:p>
    <w:p>
      <w:pPr>
        <w:pStyle w:val="Normal(Web)"/>
        <w:divId w:val="249"/>
        <w:rPr>
          <w:vanish w:val="0"/>
        </w:rPr>
      </w:pPr>
      <w:r>
        <w:t xml:space="preserve">a) Chi phí vận chuyển từ cơ sở có chức năng cung cấp máu đến các đơn vị sử dụng. Trường hợp các cơ sở cung cấp máu thực hiện việc vận chuyển máu đến đơn vị sử dụng thì giá mỗi đơn vị máu và chế phẩm máu được cộng thêm chi phí vận chuyển tối đa 17.000 đồng/01 đơn vị máu (chế phẩm máu);</w:t>
      </w:r>
    </w:p>
    <w:p>
      <w:pPr>
        <w:pStyle w:val="Normal(Web)"/>
        <w:divId w:val="250"/>
        <w:rPr>
          <w:vanish w:val="0"/>
        </w:rPr>
      </w:pPr>
      <w:r>
        <w:t xml:space="preserve">b) Chi phí làm xét nghiệm kháng thể bất thường theo lộ trình quy định tại Điểm a Khoản 1 và Điểm c Khoản 4 Điều 14 Thông tư số 26/2013/TT-BYT. Trường hợp các cơ sở truyền máu thực hiện xét nghiệm kháng thể bất thường thì giá đơn vị máu toàn phần, khối hồng cầu có thể tích từ 250 ml trở lên và chế phẩm máu gồm khối tiểu cầu gạn tách, khối bạch cầu gạn tách, khối tiểu cầu được cộng tối đa 17.000 đồng/01 đơn vị;</w:t>
      </w:r>
    </w:p>
    <w:p>
      <w:pPr>
        <w:pStyle w:val="Normal(Web)"/>
        <w:divId w:val="251"/>
        <w:rPr>
          <w:vanish w:val="0"/>
        </w:rPr>
      </w:pPr>
      <w:r>
        <w:t xml:space="preserve">c) Chi phí làm xét nghiệm NAT theo lộ trình quy định tại Điểm b Khoản 1 và Điểm g Khoản 4 Điều 14 Thông tư số 26/2013/TT-BYT. Trường hợp các cơ sở cung cấp máu thực hiện xét nghiệm NAT thì giá đơn vị máu toàn phần, khối hồng cầu có thể tích từ 250 ml trở lên và chế phẩm máu gồm khối tiểu cầu gạn tách, khối bạch cầu gạn tách, khối tiểu cầu được cộng tối đa 210.000 đồng/01 đơn vị;</w:t>
      </w:r>
    </w:p>
    <w:p>
      <w:pPr>
        <w:pStyle w:val="Normal(Web)"/>
        <w:divId w:val="252"/>
        <w:rPr>
          <w:vanish w:val="0"/>
        </w:rPr>
      </w:pPr>
      <w:r>
        <w:t xml:space="preserve">d) Chi phí làm các xét nghiệm bắt buộc có điều kiện quy định tại các điểm a, b, c Khoản 2 và các điểm c, i, k Khoản 4 Điều 14 Thông tư số 26/2013/TT-BYT. Cơ sở cung cấp máu chỉ thực hiện các xét nghiệm nêu trên khi đáp ứng được các quy định hiện hành về hoạt động truyền máu và có chỉ định của bác sĩ điều trị;</w:t>
      </w:r>
    </w:p>
    <w:p>
      <w:pPr>
        <w:pStyle w:val="Normal(Web)"/>
        <w:divId w:val="253"/>
        <w:rPr>
          <w:vanish w:val="0"/>
        </w:rPr>
      </w:pPr>
      <w:r>
        <w:t xml:space="preserve">đ) Chi phí xét nghiệm định nhóm máu, xét nghiệm hoà hợp miễn dịch, xác định và định danh kháng thể bất thường, định nhóm máu tại giường, các dụng cụ thực hiện truyền đơn vị máu, chế phẩm máu cho người bệnh.</w:t>
      </w:r>
    </w:p>
    <w:p>
      <w:pPr>
        <w:pStyle w:val="Normal(Web)"/>
        <w:divId w:val="254"/>
        <w:rPr>
          <w:vanish w:val="0"/>
        </w:rPr>
      </w:pPr>
      <w:r>
        <w:t xml:space="preserve">11. Các cơ sở y tế khi thực hiện các xét nghiệm tại các điểm d, đ Khoản 10 Điều này được phép thu của người bệnh hoặc thanh toán với quỹ Bảo hiểm y tế theo giá được cấp có thẩm quyền phê duyệt theo quy định hiện hành.</w:t>
      </w:r>
    </w:p>
    <w:p>
      <w:pPr>
        <w:pStyle w:val="Normal(Web)"/>
        <w:divId w:val="255"/>
        <w:rPr>
          <w:vanish w:val="0"/>
        </w:rPr>
      </w:pPr>
      <w:r>
        <w:rPr>
          <w:b/>
        </w:rPr>
        <w:t xml:space="preserve">Điều 4. Chi phí phục vụ cho việc xác định giá của một đơn vị máu toàn phần, chế phẩm máu đạt tiêu chuẩn</w:t>
      </w:r>
    </w:p>
    <w:p>
      <w:pPr>
        <w:pStyle w:val="Normal(Web)"/>
        <w:divId w:val="256"/>
        <w:rPr>
          <w:vanish w:val="0"/>
        </w:rPr>
      </w:pPr>
      <w:r>
        <w:t xml:space="preserve">Việc định giá của một đơn vị máu toàn phần, chế phẩm máu đạt tiêu chuẩn dựa trên chi phí cho công tác tiếp nhận, sàng lọc máu, thành phần máu và việc điều chế các chế phẩm máu theo nội dung và mức chi như sau:</w:t>
      </w:r>
    </w:p>
    <w:p>
      <w:pPr>
        <w:pStyle w:val="Normal(Web)"/>
        <w:divId w:val="257"/>
        <w:rPr>
          <w:vanish w:val="0"/>
        </w:rPr>
      </w:pPr>
      <w:r>
        <w:t xml:space="preserve">1. Chi hỗ trợ cho các đơn vị, cơ sở tuyên truyền, vận động, tổ chức ngày hiến máu tình nguyện: Mức chi bình quân tối đa là 50.000 đồng/người hiến máu.</w:t>
      </w:r>
    </w:p>
    <w:p>
      <w:pPr>
        <w:pStyle w:val="Normal(Web)"/>
        <w:divId w:val="258"/>
        <w:rPr>
          <w:vanish w:val="0"/>
        </w:rPr>
      </w:pPr>
      <w:r>
        <w:t xml:space="preserve">Nội dung chi hỗ trợ, mức chi hỗ trợ cụ thể và sử dụng khoản kinh phí này thực hiện theo quy định tại Khoản 2 Điều 3 Thông tư số </w:t>
      </w:r>
      <w:hyperlink r:id="rId8" w:history="1">
        <w:r>
          <w:rPr>
            <w:rStyle w:val="Hyperlink"/>
          </w:rPr>
          <w:t xml:space="preserve">182/2009/TT-BTC </w:t>
        </w:r>
      </w:hyperlink>
      <w:r>
        <w:t xml:space="preserve"> ngày 14 tháng 9 năm 2009 của Bộ Tài chính hướng dẫn nội dung và mức chi cho công tác tuyên truyền, vận động hiến máu tình nguyện.</w:t>
      </w:r>
    </w:p>
    <w:p>
      <w:pPr>
        <w:pStyle w:val="Normal(Web)"/>
        <w:divId w:val="259"/>
        <w:rPr>
          <w:vanish w:val="0"/>
        </w:rPr>
      </w:pPr>
      <w:r>
        <w:t xml:space="preserve">2. Chi ăn uống tại chỗ cho người hiến máu bao gồm máu toàn phần và thành phần máu (cả người hiến máu tình nguyện và người hiến máu chuyên nghiệp): Mức chi bình quân tối đa là: 35.000 đồng/người/lần hiến máu. Các cơ sở cung cấp máu có trách nhiệm tổ chức chu đáo, công khai để người hiến máu được ăn uống tại chỗ trước và sau khi hiến máu.</w:t>
      </w:r>
    </w:p>
    <w:p>
      <w:pPr>
        <w:pStyle w:val="Normal(Web)"/>
        <w:divId w:val="260"/>
        <w:rPr>
          <w:vanish w:val="0"/>
        </w:rPr>
      </w:pPr>
      <w:r>
        <w:t xml:space="preserve">3. Chi bồi dưỡng trực tiếp cho người hiến máu chuyên nghiệp:</w:t>
      </w:r>
    </w:p>
    <w:p>
      <w:pPr>
        <w:pStyle w:val="Normal(Web)"/>
        <w:divId w:val="261"/>
        <w:rPr>
          <w:vanish w:val="0"/>
        </w:rPr>
      </w:pPr>
      <w:r>
        <w:t xml:space="preserve">a) Đối với người hiến máu toàn phần:</w:t>
      </w:r>
    </w:p>
    <w:p>
      <w:pPr>
        <w:pStyle w:val="Normal(Web)"/>
        <w:divId w:val="262"/>
        <w:rPr>
          <w:vanish w:val="0"/>
        </w:rPr>
      </w:pPr>
      <w:r>
        <w:t xml:space="preserve">- Một đơn vị máu có thể tích 250 ml: 195.000 đồng;</w:t>
      </w:r>
    </w:p>
    <w:p>
      <w:pPr>
        <w:pStyle w:val="Normal(Web)"/>
        <w:divId w:val="263"/>
        <w:rPr>
          <w:vanish w:val="0"/>
        </w:rPr>
      </w:pPr>
      <w:r>
        <w:t xml:space="preserve">- Một đơn vị máu có thể tích 350 ml: 320.000 đồng;</w:t>
      </w:r>
    </w:p>
    <w:p>
      <w:pPr>
        <w:pStyle w:val="Normal(Web)"/>
        <w:divId w:val="264"/>
        <w:rPr>
          <w:vanish w:val="0"/>
        </w:rPr>
      </w:pPr>
      <w:r>
        <w:t xml:space="preserve">- Một đơn vị máu có thể tích 450 ml: 430.000 đồng.</w:t>
      </w:r>
    </w:p>
    <w:p>
      <w:pPr>
        <w:pStyle w:val="Normal(Web)"/>
        <w:divId w:val="265"/>
        <w:rPr>
          <w:vanish w:val="0"/>
        </w:rPr>
      </w:pPr>
      <w:r>
        <w:t xml:space="preserve">b) Đối với người hiến gạn tách các thành phần máu:</w:t>
      </w:r>
    </w:p>
    <w:p>
      <w:pPr>
        <w:pStyle w:val="Normal(Web)"/>
        <w:divId w:val="266"/>
        <w:rPr>
          <w:vanish w:val="0"/>
        </w:rPr>
      </w:pPr>
      <w:r>
        <w:t xml:space="preserve">- Một chế phẩm có thể tích từ 250 đến 400 ml: 400.000 đồng;</w:t>
      </w:r>
    </w:p>
    <w:p>
      <w:pPr>
        <w:pStyle w:val="Normal(Web)"/>
        <w:divId w:val="267"/>
        <w:rPr>
          <w:vanish w:val="0"/>
        </w:rPr>
      </w:pPr>
      <w:r>
        <w:t xml:space="preserve">- Một chế phẩm có thể tích từ 400 đến 500 ml: 600.000 đồng;</w:t>
      </w:r>
    </w:p>
    <w:p>
      <w:pPr>
        <w:pStyle w:val="Normal(Web)"/>
        <w:divId w:val="268"/>
        <w:rPr>
          <w:vanish w:val="0"/>
        </w:rPr>
      </w:pPr>
      <w:r>
        <w:t xml:space="preserve">- Một chế phẩm có thể tích từ 500 đến 650 ml: 700.000 đồng</w:t>
      </w:r>
    </w:p>
    <w:p>
      <w:pPr>
        <w:pStyle w:val="Normal(Web)"/>
        <w:divId w:val="269"/>
        <w:rPr>
          <w:vanish w:val="0"/>
        </w:rPr>
      </w:pPr>
      <w:r>
        <w:t xml:space="preserve">4. Chi phí đối với người hiến máu tình nguyện:</w:t>
      </w:r>
    </w:p>
    <w:p>
      <w:pPr>
        <w:pStyle w:val="Normal(Web)"/>
        <w:divId w:val="270"/>
        <w:rPr>
          <w:vanish w:val="0"/>
        </w:rPr>
      </w:pPr>
      <w:r>
        <w:t xml:space="preserve">a) Chi quà tặng bằng hiện vật nhằm động viên khuyến khích, bồi dưỡng sức khỏe đối với người hiến máu toàn phần tình nguyện:</w:t>
      </w:r>
    </w:p>
    <w:p>
      <w:pPr>
        <w:pStyle w:val="Normal(Web)"/>
        <w:divId w:val="271"/>
        <w:rPr>
          <w:vanish w:val="0"/>
        </w:rPr>
      </w:pPr>
      <w:r>
        <w:t xml:space="preserve">- Một đơn vị máu thể tích 250 ml: 100.000 đồng;</w:t>
      </w:r>
    </w:p>
    <w:p>
      <w:pPr>
        <w:pStyle w:val="Normal(Web)"/>
        <w:divId w:val="272"/>
        <w:rPr>
          <w:vanish w:val="0"/>
        </w:rPr>
      </w:pPr>
      <w:r>
        <w:t xml:space="preserve">- Một đơn vị máu thể tích 350 ml: 150.000 đồng;</w:t>
      </w:r>
    </w:p>
    <w:p>
      <w:pPr>
        <w:pStyle w:val="Normal(Web)"/>
        <w:divId w:val="273"/>
        <w:rPr>
          <w:vanish w:val="0"/>
        </w:rPr>
      </w:pPr>
      <w:r>
        <w:t xml:space="preserve">- Một đơn vị máu thể tích 450 ml: 180.000 đồng.</w:t>
      </w:r>
    </w:p>
    <w:p>
      <w:pPr>
        <w:pStyle w:val="Normal(Web)"/>
        <w:divId w:val="274"/>
        <w:rPr>
          <w:vanish w:val="0"/>
        </w:rPr>
      </w:pPr>
      <w:r>
        <w:t xml:space="preserve">b) Chi quà tặng bằng hiện vật nhằm động viên khuyến khích, bồi dưỡng sức khỏe đối với người hiến tình nguyện gạn tách các thành phần máu (khối tiểu cầu, khối bạch cầu hạt, tế bào gốc máu ngoại vi…):</w:t>
      </w:r>
    </w:p>
    <w:p>
      <w:pPr>
        <w:pStyle w:val="Normal(Web)"/>
        <w:divId w:val="275"/>
        <w:rPr>
          <w:vanish w:val="0"/>
        </w:rPr>
      </w:pPr>
      <w:r>
        <w:t xml:space="preserve">- Một chế phẩm có thể tích từ 250 đến 400 ml: 150.000 đồng;</w:t>
      </w:r>
    </w:p>
    <w:p>
      <w:pPr>
        <w:pStyle w:val="Normal(Web)"/>
        <w:divId w:val="276"/>
        <w:rPr>
          <w:vanish w:val="0"/>
        </w:rPr>
      </w:pPr>
      <w:r>
        <w:t xml:space="preserve">- Một chế phẩm có thể tích từ 400 đến 500 ml: 200.000 đồng;</w:t>
      </w:r>
    </w:p>
    <w:p>
      <w:pPr>
        <w:pStyle w:val="Normal(Web)"/>
        <w:divId w:val="277"/>
        <w:rPr>
          <w:vanish w:val="0"/>
        </w:rPr>
      </w:pPr>
      <w:r>
        <w:t xml:space="preserve">- Một chế phẩm có thể tích từ 500 đến 650 ml: 250.000 đồng;</w:t>
      </w:r>
    </w:p>
    <w:p>
      <w:pPr>
        <w:pStyle w:val="Normal(Web)"/>
        <w:divId w:val="278"/>
        <w:rPr>
          <w:vanish w:val="0"/>
        </w:rPr>
      </w:pPr>
      <w:r>
        <w:t xml:space="preserve">c) Chi hỗ trợ chi phí đi lại đối với người hiến máu tình nguyện: Mức chi bình quân tối đa là 45.000 đồng/người/lần hiến máu.</w:t>
      </w:r>
    </w:p>
    <w:p>
      <w:pPr>
        <w:pStyle w:val="Normal(Web)"/>
        <w:divId w:val="279"/>
        <w:rPr>
          <w:vanish w:val="0"/>
        </w:rPr>
      </w:pPr>
      <w:r>
        <w:t xml:space="preserve">5. Chi phí dụng cụ lấy máu, túi chứa máu bằng chất dẻo, vật tư, văn phòng phẩm, điện, nước phục vụ công tác lấy máu, xét nghiệm và sàng lọc máu, chế phẩm máu.</w:t>
      </w:r>
    </w:p>
    <w:p>
      <w:pPr>
        <w:pStyle w:val="Normal(Web)"/>
        <w:divId w:val="280"/>
        <w:rPr>
          <w:vanish w:val="0"/>
        </w:rPr>
      </w:pPr>
      <w:r>
        <w:t xml:space="preserve">6. Chi phí thuê xe, mua xăng, dầu khi đi lấy máu tại các điểm lấy máu lưu động theo hóa đơn, hợp đồng thực tế.</w:t>
      </w:r>
    </w:p>
    <w:p>
      <w:pPr>
        <w:pStyle w:val="Normal(Web)"/>
        <w:divId w:val="281"/>
        <w:rPr>
          <w:vanish w:val="0"/>
        </w:rPr>
      </w:pPr>
      <w:r>
        <w:t xml:space="preserve">7. Chi phí khám lâm sàng, chi phí mua vật tư, hóa chất, sinh phẩm xét nghiệm để làm các xét nghiệm bắt buộc quy định tại Thông tư 26/2013/TT-BYT.</w:t>
      </w:r>
    </w:p>
    <w:p>
      <w:pPr>
        <w:pStyle w:val="Normal(Web)"/>
        <w:divId w:val="282"/>
        <w:rPr>
          <w:vanish w:val="0"/>
        </w:rPr>
      </w:pPr>
      <w:r>
        <w:t xml:space="preserve">8. Chi phí để duy tu bảo dưỡng thường xuyên tài sản, trang thiết bị phục vụ công tác tiếp nhận, sàng lọc và lưu trữ máu, chế phẩm máu.</w:t>
      </w:r>
    </w:p>
    <w:p>
      <w:pPr>
        <w:pStyle w:val="Normal(Web)"/>
        <w:divId w:val="283"/>
        <w:rPr>
          <w:vanish w:val="0"/>
        </w:rPr>
      </w:pPr>
      <w:r>
        <w:t xml:space="preserve">9. Chi phí hủy đơn vị máu không đạt tiêu chuẩn.</w:t>
      </w:r>
    </w:p>
    <w:p>
      <w:pPr>
        <w:pStyle w:val="Normal(Web)"/>
        <w:divId w:val="284"/>
        <w:rPr>
          <w:vanish w:val="0"/>
        </w:rPr>
      </w:pPr>
      <w:r>
        <w:t xml:space="preserve">10. Chi hỗ trợ công tác tổ chức tư vấn cho người hiến máu tình nguyện tại các cơ sở y tế công lập được giao nhiệm vụ tiếp nhận, sàng lọc máu.</w:t>
      </w:r>
    </w:p>
    <w:p>
      <w:pPr>
        <w:pStyle w:val="Normal(Web)"/>
        <w:divId w:val="285"/>
        <w:rPr>
          <w:vanish w:val="0"/>
        </w:rPr>
      </w:pPr>
      <w:r>
        <w:t xml:space="preserve">11. Các khoản chi phí hợp lý và hợp pháp khác phục vụ cho công tác tiếp nhận, sàng lọc, sản xuất, lưu trữ và phân phối máu, chế phẩm máu.</w:t>
      </w:r>
    </w:p>
    <w:p>
      <w:pPr>
        <w:pStyle w:val="Normal(Web)"/>
        <w:divId w:val="286"/>
        <w:rPr>
          <w:vanish w:val="0"/>
        </w:rPr>
      </w:pPr>
      <w:r>
        <w:rPr>
          <w:b/>
        </w:rPr>
        <w:t xml:space="preserve">Điều 5. Tổ chức thực hiện</w:t>
      </w:r>
    </w:p>
    <w:p>
      <w:pPr>
        <w:pStyle w:val="Normal(Web)"/>
        <w:divId w:val="287"/>
        <w:rPr>
          <w:vanish w:val="0"/>
        </w:rPr>
      </w:pPr>
      <w:r>
        <w:t xml:space="preserve">1. Thủ trưởng đơn vị căn cứ vào quy định tại Thông tư này và tình hình thực tế của đơn vị để xây dựng, ban hành mức giá cụ thể của từng đơn vị máu toàn phần và chế phẩm máu đạt tiêu chuẩn, mức giá vận chuyển máu từ đơn vị cung cấp máu đến đơn vị sử dụng và các xét nghiệm quy định tại các điểm b, c Khoản 10 Điều 3 Thông tư này theo nguyên tắc:</w:t>
      </w:r>
    </w:p>
    <w:p>
      <w:pPr>
        <w:pStyle w:val="Normal(Web)"/>
        <w:divId w:val="288"/>
        <w:rPr>
          <w:vanish w:val="0"/>
        </w:rPr>
      </w:pPr>
      <w:r>
        <w:t xml:space="preserve">a) Không vượt quá mức giá tối đa quy định tại Điều 3 Thông tư này đối với trường hợp thanh toán từ nguồn ngân sách nhà nước, nguồn thu từ dịch vụ khám bệnh, chữa bệnh theo quy định của các cơ sở y tế của Nhà nước, nguồn Quỹ bảo hiểm y tế.</w:t>
      </w:r>
    </w:p>
    <w:p>
      <w:pPr>
        <w:pStyle w:val="Normal(Web)"/>
        <w:divId w:val="289"/>
        <w:rPr>
          <w:vanish w:val="0"/>
        </w:rPr>
      </w:pPr>
      <w:r>
        <w:t xml:space="preserve">b) Bảo đảm bù đắp chi phí thực tế hợp lý, có tích luỹ và phù hợp với tình hình thị trường đối với trường hợp thanh toán từ các nguồn không quy định tại Điểm a Khoản này.</w:t>
      </w:r>
    </w:p>
    <w:p>
      <w:pPr>
        <w:pStyle w:val="Normal(Web)"/>
        <w:divId w:val="290"/>
        <w:rPr>
          <w:vanish w:val="0"/>
        </w:rPr>
      </w:pPr>
      <w:r>
        <w:t xml:space="preserve">2. Trường hợp cơ sở truyền máu có thực hiện vận chuyển máu từ đơn vị cung cấp máu đến đơn vị sử dụng máu và các xét nghiệm quy định tại các điểm b, c Khoản 10 Điều 3 Thông tư này thì được cộng giá vận chuyển máu và giá xét nghiệm vào giá của mỗi đơn vị máu và chế phẩm máu để thanh toán với cơ quan Bảo hiểm y tế hoặc thu của người bệnh theo quy định nhưng vẫn phải bảo đảm nguyên tắc quy định tại Khoản 1 Điều này.</w:t>
      </w:r>
    </w:p>
    <w:p>
      <w:pPr>
        <w:pStyle w:val="Normal(Web)"/>
        <w:divId w:val="291"/>
        <w:rPr>
          <w:vanish w:val="0"/>
        </w:rPr>
      </w:pPr>
      <w:r>
        <w:t xml:space="preserve">3. Các cơ sở y tế phải mở sổ theo dõi tình hình tiếp nhận, sử dụng kinh phí tiếp nhận, sàng lọc, điều chế, lưu trữ, vận chuyển và sử dụng máu, chế phẩm máu và thực hiện kê khai giá, niêm yết giá theo quy định của pháp luật.</w:t>
      </w:r>
    </w:p>
    <w:p>
      <w:pPr>
        <w:pStyle w:val="Normal(Web)"/>
        <w:divId w:val="292"/>
        <w:rPr>
          <w:vanish w:val="0"/>
        </w:rPr>
      </w:pPr>
      <w:r>
        <w:t xml:space="preserve">4. Công tác lập dự toán, chấp hành dự toán và quyết toán kinh phí thực hiện theo quy định hiện hành của Luật Ngân sách Nhà nước, Luật Kế toán và các văn bản hướng dẫn hiện hành.</w:t>
      </w:r>
    </w:p>
    <w:p>
      <w:pPr>
        <w:pStyle w:val="Normal(Web)"/>
        <w:divId w:val="293"/>
        <w:rPr>
          <w:vanish w:val="0"/>
        </w:rPr>
      </w:pPr>
      <w:r>
        <w:rPr>
          <w:b/>
        </w:rPr>
        <w:t xml:space="preserve">Điều 6. Điều khoản thi hành</w:t>
      </w:r>
    </w:p>
    <w:p>
      <w:pPr>
        <w:pStyle w:val="Normal(Web)"/>
        <w:divId w:val="294"/>
        <w:rPr>
          <w:vanish w:val="0"/>
        </w:rPr>
      </w:pPr>
      <w:r>
        <w:t xml:space="preserve">1. Thông tư này có hiệu lực thi hành từ ngày 01 tháng 01 năm 2015.</w:t>
      </w:r>
    </w:p>
    <w:p>
      <w:pPr>
        <w:pStyle w:val="Normal(Web)"/>
        <w:divId w:val="295"/>
        <w:rPr>
          <w:vanish w:val="0"/>
        </w:rPr>
      </w:pPr>
      <w:r>
        <w:t xml:space="preserve">2. Thông tư số </w:t>
      </w:r>
      <w:hyperlink r:id="rId9" w:history="1">
        <w:r>
          <w:rPr>
            <w:rStyle w:val="Hyperlink"/>
          </w:rPr>
          <w:t xml:space="preserve">21/2009/TT-BYT </w:t>
        </w:r>
      </w:hyperlink>
      <w:r>
        <w:t xml:space="preserve"> ngày 20 tháng 11 năm 2009 của Bộ Y tế hướng dẫn nội dung, mức chi cho công tác tiếp nhận, sàng lọc máu toàn phần và các chế phẩm máu đạt tiêu chuẩn và Quyết định số 4578/2009/QĐ-BYT ngày 20/11/2009 của Bộ Y tế quy định giá tối đa của một khối lượng máu toàn phần và chế phẩm máu đạt tiêu chuẩn hết hiệu lực kể từ ngày Thông tư này có hiệu lực</w:t>
      </w:r>
      <w:r>
        <w:t xml:space="preserve">.</w:t>
      </w:r>
    </w:p>
    <w:p>
      <w:pPr>
        <w:pStyle w:val="Normal(Web)"/>
        <w:divId w:val="296"/>
        <w:rPr>
          <w:vanish w:val="0"/>
        </w:rPr>
      </w:pPr>
      <w:r>
        <w:t xml:space="preserve">Trong quá trình thực hiện nếu có vướng mắc đề nghị phản ánh kịp thời về Bộ Y tế để sửa đổi và bổ sung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7"/>
              <w:rPr>
                <w:vanish w:val="0"/>
              </w:rPr>
            </w:pPr>
            <w:r>
              <w:rPr>
                <w:b/>
                <w:i/>
              </w:rPr>
              <w:t xml:space="preserve">Nơi nhận:</w:t>
            </w:r>
            <w:r>
              <w:rPr>
                <w:b/>
                <w:i/>
              </w:rPr>
              <w:br/>
            </w:r>
            <w:r>
              <w:rPr>
                <w:b/>
                <w:i/>
              </w:rPr>
              <w:t xml:space="preserve"> </w:t>
            </w:r>
            <w:r>
              <w:t xml:space="preserve">- Văn phòng Chính phủ (Vụ KGVX, Phòng Công báo;</w:t>
            </w:r>
            <w:r>
              <w:rPr/>
              <w:br/>
            </w:r>
            <w:r>
              <w:t xml:space="preserve">Cổng Thông tin điện tử Chính phủ);</w:t>
            </w:r>
            <w:r>
              <w:rPr/>
              <w:br/>
            </w:r>
            <w:r>
              <w:t xml:space="preserve">- Bộ Tư pháp (Cục Kiểm tra VBQPPL);</w:t>
            </w:r>
            <w:r>
              <w:rPr/>
              <w:br/>
            </w:r>
            <w:r>
              <w:t xml:space="preserve">- Các Bộ, cơ quan ngang Bộ, cơ quan thuộc CP;</w:t>
            </w:r>
            <w:r>
              <w:rPr/>
              <w:br/>
            </w:r>
            <w:r>
              <w:t xml:space="preserve">- Kiểm toán Nhà nước;</w:t>
            </w:r>
            <w:r>
              <w:rPr/>
              <w:br/>
            </w:r>
            <w:r>
              <w:t xml:space="preserve">- Cơ quan TW của các đoàn thể;</w:t>
            </w:r>
            <w:r>
              <w:rPr/>
              <w:br/>
            </w:r>
            <w:r>
              <w:t xml:space="preserve">- UBND các tỉnh, TP trực thuộc TW;</w:t>
            </w:r>
            <w:r>
              <w:rPr/>
              <w:br/>
            </w:r>
            <w:r>
              <w:t xml:space="preserve">- Ban chỉ đạo Quốc gia vận động hiến máu</w:t>
            </w:r>
            <w:r>
              <w:rPr/>
              <w:br/>
            </w:r>
            <w:r>
              <w:t xml:space="preserve">tình nguyện; Ban chỉ đạo vận động hiến máu</w:t>
            </w:r>
            <w:r>
              <w:rPr/>
              <w:br/>
            </w:r>
            <w:r>
              <w:t xml:space="preserve">tình nguyện các tỉnh,thành phố trực thuộc TW;</w:t>
            </w:r>
            <w:r>
              <w:rPr/>
              <w:br/>
            </w:r>
            <w:r>
              <w:t xml:space="preserve">- Sở Y tế các tỉnh, thành phố trực thuộc TW;</w:t>
            </w:r>
            <w:r>
              <w:rPr/>
              <w:br/>
            </w:r>
            <w:r>
              <w:t xml:space="preserve">- Các đơn vị trực thuộc Bộ Y tế;</w:t>
            </w:r>
            <w:r>
              <w:rPr/>
              <w:br/>
            </w:r>
            <w:r>
              <w:t xml:space="preserve">- Y tế các ngành;</w:t>
            </w:r>
            <w:r>
              <w:rPr/>
              <w:br/>
            </w:r>
            <w:r>
              <w:t xml:space="preserve">- Các Vụ, Cục, Tổng Cục, Văn phòng Bộ, Thanh tra Bộ;</w:t>
            </w:r>
            <w:r>
              <w:rPr/>
              <w:br/>
            </w:r>
            <w:r>
              <w:t xml:space="preserve">- Cổng thông tin điện tử Bộ Y tế;</w:t>
            </w:r>
            <w:r>
              <w:rPr/>
              <w:br/>
            </w:r>
            <w:r>
              <w:t xml:space="preserve">- Lưu: VT, KH-TC, PC</w:t>
            </w:r>
            <w:r>
              <w:rPr>
                <w:vertAlign w:val="subscript"/>
              </w:rPr>
              <w:t xml:space="preserve">(02b)</w:t>
            </w:r>
            <w:r>
              <w:t xml:space="preserve">.</w:t>
            </w:r>
          </w:p>
        </w:tc>
        <w:tc>
          <w:tcPr>
            <w:tcW w:w="0" w:type="auto"/>
            <w:shd w:val="clear" w:color="auto" w:fill="auto"/>
            <w:vAlign w:val="center"/>
          </w:tcPr>
          <w:p>
            <w:pPr>
              <w:pStyle w:val="Normal(Web)"/>
              <w:divId w:val="298"/>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Thị Xuyên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3-2014-tt-byt-cua-bo-y-te---quy-dinh-gia-toi-da-va-chi-phi-phuc-vu-cho-viec-xac-dinh-gia-mot-don-vi-mau-toan-phan--che-pham-mau-dat-tieu-chuan.aspx" TargetMode="External" /><Relationship Id="rId4" Type="http://schemas.openxmlformats.org/officeDocument/2006/relationships/hyperlink" Target="/luat-duoc-so-34-2005-qh11.aspx" TargetMode="External" /><Relationship Id="rId5" Type="http://schemas.openxmlformats.org/officeDocument/2006/relationships/hyperlink" Target="/luat-gia-2012.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yperlink" Target="/thong-tu-26-2013-tt--byt-nam-2013-huong-dan-hoat-dong-truyen-mau.aspx" TargetMode="External" /><Relationship Id="rId8" Type="http://schemas.openxmlformats.org/officeDocument/2006/relationships/hyperlink" Target="/thong-tu-so-182-2009-tt-btc-cua-bo-tai-chinh---huong-dan-noi-dung-va-muc-chi-cho-cong-tac-tuyen-truyen--van-dong-hien-mau-tinh-nguyen.aspx" TargetMode="External" /><Relationship Id="rId9" Type="http://schemas.openxmlformats.org/officeDocument/2006/relationships/hyperlink" Target="/thong-tu-21-2009-tt-by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2022-06-21T17:24:12Z</dcterms:created>
  <dcterms:modified xsi:type="dcterms:W3CDTF">2022-06-21T17:24:12Z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2022-06-21T17:24:12Z</dcterms:created>
  <dcterms:modified xsi:type="dcterms:W3CDTF">2022-06-21T17:24:12Z</dcterms:modified>
</cp:coreProperties>
</file>