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divId w:val="2"/>
              <w:jc w:val="center"/>
              <w:rPr>
                <w:vanish w:val="0"/>
              </w:rPr>
            </w:pPr>
            <w:r>
              <w:t xml:space="preserve">Số: </w:t>
            </w:r>
            <w:hyperlink r:id="rId3" w:history="1">
              <w:r>
                <w:rPr>
                  <w:rStyle w:val="Hyperlink"/>
                </w:rPr>
                <w:t xml:space="preserve">03/2014/TT-NHNN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23 tháng 01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QUỸ BẢO ĐẢM AN TOÀN HỆ THỐNG QUỸ TÍN DỤNG NHÂN DÂN</w:t>
      </w:r>
    </w:p>
    <w:p>
      <w:pPr>
        <w:pStyle w:val="Normal(Web)"/>
        <w:divId w:val="7"/>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8"/>
        <w:rPr>
          <w:vanish w:val="0"/>
        </w:rPr>
      </w:pPr>
      <w:r>
        <w:rPr>
          <w:i/>
        </w:rPr>
        <w:t xml:space="preserve">Căn cứ Luật Các tổ chức tín dụng số </w:t>
      </w:r>
      <w:hyperlink r:id="rId5" w:history="1">
        <w:r>
          <w:rPr>
            <w:rStyle w:val="Hyperlink"/>
            <w:i/>
          </w:rPr>
          <w:t xml:space="preserve">47/2010/QH12 </w:t>
        </w:r>
      </w:hyperlink>
      <w:r>
        <w:rPr>
          <w:i/>
        </w:rPr>
        <w:t xml:space="preserve"> ngày 16 tháng 6 năm 2010;</w:t>
      </w:r>
    </w:p>
    <w:p>
      <w:pPr>
        <w:pStyle w:val="Normal(Web)"/>
        <w:divId w:val="9"/>
        <w:rPr>
          <w:vanish w:val="0"/>
        </w:rPr>
      </w:pPr>
      <w:r>
        <w:rPr>
          <w:i/>
        </w:rPr>
        <w:t xml:space="preserve">Căn cứ Luật Hợp tác xã số 23/2012/QH13 ngày 20 tháng 11 năm 2012;</w:t>
      </w:r>
    </w:p>
    <w:p>
      <w:pPr>
        <w:pStyle w:val="Normal(Web)"/>
        <w:divId w:val="10"/>
        <w:rPr>
          <w:vanish w:val="0"/>
        </w:rPr>
      </w:pPr>
      <w:r>
        <w:rPr>
          <w:i/>
        </w:rPr>
        <w:t xml:space="preserve">Căn cứ Nghị định số </w:t>
      </w:r>
      <w:hyperlink r:id="rId6" w:history="1">
        <w:r>
          <w:rPr>
            <w:rStyle w:val="Hyperlink"/>
            <w:i/>
          </w:rPr>
          <w:t xml:space="preserve">156/2013/NĐ-CP </w:t>
        </w:r>
      </w:hyperlink>
      <w:r>
        <w:rPr>
          <w:i/>
        </w:rPr>
        <w:t xml:space="preserve"> ngày 11 tháng 11 năm 2013 của Chính phủ quy định chức năng, nhiệm vụ, quyền hạn và cơ cấu tổ chức của Ngân hàng Nhà nước Việt Nam;</w:t>
      </w:r>
    </w:p>
    <w:p>
      <w:pPr>
        <w:pStyle w:val="Normal(Web)"/>
        <w:divId w:val="11"/>
        <w:rPr>
          <w:vanish w:val="0"/>
        </w:rPr>
      </w:pPr>
      <w:r>
        <w:rPr>
          <w:i/>
        </w:rPr>
        <w:t xml:space="preserve">Theo đề nghị của Chánh Thanh tra, giám sát ngân hàng;</w:t>
      </w:r>
    </w:p>
    <w:p>
      <w:pPr>
        <w:pStyle w:val="Normal(Web)"/>
        <w:divId w:val="12"/>
        <w:rPr>
          <w:vanish w:val="0"/>
        </w:rPr>
      </w:pPr>
      <w:r>
        <w:rPr>
          <w:i/>
        </w:rPr>
        <w:t xml:space="preserve">Thống đốc Ngân hàng Nhà nước Việt Nam ban hành Thông tư quy định về Quỹ bảo đảm an toàn hệ thống quỹ tín dụng nhân dân.</w:t>
      </w:r>
    </w:p>
    <w:p>
      <w:pPr>
        <w:pStyle w:val="Normal(Web)"/>
        <w:divId w:val="13"/>
        <w:jc w:val="center"/>
        <w:rPr>
          <w:vanish w:val="0"/>
        </w:rPr>
      </w:pPr>
      <w:r>
        <w:rPr>
          <w:b/>
        </w:rPr>
        <w:t xml:space="preserve">Chương I</w:t>
      </w:r>
    </w:p>
    <w:p>
      <w:pPr>
        <w:pStyle w:val="Normal(Web)"/>
        <w:divId w:val="14"/>
        <w:jc w:val="center"/>
        <w:rPr>
          <w:vanish w:val="0"/>
        </w:rPr>
      </w:pPr>
      <w:r>
        <w:rPr>
          <w:b/>
        </w:rPr>
        <w:t xml:space="preserve">QUY ĐỊNH CHUNG</w:t>
      </w:r>
    </w:p>
    <w:p>
      <w:pPr>
        <w:pStyle w:val="Normal(Web)"/>
        <w:divId w:val="15"/>
        <w:rPr>
          <w:vanish w:val="0"/>
        </w:rPr>
      </w:pPr>
      <w:r>
        <w:rPr>
          <w:b/>
        </w:rPr>
        <w:t xml:space="preserve">Điều 1. Phạm vi điều chỉnh</w:t>
      </w:r>
    </w:p>
    <w:p>
      <w:pPr>
        <w:pStyle w:val="Normal(Web)"/>
        <w:divId w:val="16"/>
        <w:rPr>
          <w:vanish w:val="0"/>
        </w:rPr>
      </w:pPr>
      <w:r>
        <w:t xml:space="preserve">1. Thông tư này quy định việc trích nộp phí tham gia, quản lý và sử dụng Quỹ bảo đảm an toàn hệ thống quỹ tín dụng nhân dân (sau đây gọi tắt là Quỹ bảo toàn) nhằm hỗ trợ bảo đảm an toàn cho hoạt động của hệ thống quỹ tín dụng nhân dân.</w:t>
      </w:r>
    </w:p>
    <w:p>
      <w:pPr>
        <w:pStyle w:val="Normal(Web)"/>
        <w:divId w:val="17"/>
        <w:rPr>
          <w:vanish w:val="0"/>
        </w:rPr>
      </w:pPr>
      <w:r>
        <w:t xml:space="preserve">2. Quỹ bảo toàn là một quỹ tài chính của hệ thống tổ chức tín dụng là hợp tác xã (bao gồm ngân hàng hợp tác xã và các quỹ tín dụng nhân dân) do ngân hàng hợp tác xã lập trên cơ sở phí trích nộp của ngân hàng hợp tác xã và các quỹ tín dụng nhân dân thành viên, đặt tại ngân hàng hợp tác xã và do ngân hàng hợp tác xã quản lý, sử dụng theo quy định tại Thông tư này và quy định của pháp luật.</w:t>
      </w:r>
    </w:p>
    <w:p>
      <w:pPr>
        <w:pStyle w:val="Normal(Web)"/>
        <w:divId w:val="18"/>
        <w:rPr>
          <w:vanish w:val="0"/>
        </w:rPr>
      </w:pPr>
      <w:r>
        <w:rPr>
          <w:b/>
        </w:rPr>
        <w:t xml:space="preserve">Điều 2. Đối tượng áp dụng</w:t>
      </w:r>
    </w:p>
    <w:p>
      <w:pPr>
        <w:pStyle w:val="Normal(Web)"/>
        <w:divId w:val="19"/>
        <w:rPr>
          <w:vanish w:val="0"/>
        </w:rPr>
      </w:pPr>
      <w:r>
        <w:t xml:space="preserve">1. Ngân hàng hợp tác xã.</w:t>
      </w:r>
    </w:p>
    <w:p>
      <w:pPr>
        <w:pStyle w:val="Normal(Web)"/>
        <w:divId w:val="20"/>
        <w:rPr>
          <w:vanish w:val="0"/>
        </w:rPr>
      </w:pPr>
      <w:r>
        <w:t xml:space="preserve">2. Các quỹ tín dụng nhân dân.</w:t>
      </w:r>
    </w:p>
    <w:p>
      <w:pPr>
        <w:pStyle w:val="Normal(Web)"/>
        <w:divId w:val="21"/>
        <w:rPr>
          <w:vanish w:val="0"/>
        </w:rPr>
      </w:pPr>
      <w:r>
        <w:t xml:space="preserve">3. Tổ chức, cá nhân có liên quan đến việc trích nộp phí tham gia, quản lý và sử dụng Quỹ bảo toàn.</w:t>
      </w:r>
    </w:p>
    <w:p>
      <w:pPr>
        <w:pStyle w:val="Normal(Web)"/>
        <w:divId w:val="22"/>
        <w:rPr>
          <w:vanish w:val="0"/>
        </w:rPr>
      </w:pPr>
      <w:r>
        <w:rPr>
          <w:b/>
        </w:rPr>
        <w:t xml:space="preserve">Điều 3. Nguyên tắc hoạt động</w:t>
      </w:r>
    </w:p>
    <w:p>
      <w:pPr>
        <w:pStyle w:val="Normal(Web)"/>
        <w:divId w:val="23"/>
        <w:rPr>
          <w:vanish w:val="0"/>
        </w:rPr>
      </w:pPr>
      <w:r>
        <w:t xml:space="preserve">1. Quỹ bảo toàn là quỹ tài chính thuộc sở hữu chung của thành viên (ngân hàng hợp tác xã và các quỹ tín dụng nhân dân) do ngân hàng hợp tác xã quản lý và sử dụng theo quy định tại Thông tư này.</w:t>
      </w:r>
    </w:p>
    <w:p>
      <w:pPr>
        <w:pStyle w:val="Normal(Web)"/>
        <w:divId w:val="24"/>
        <w:rPr>
          <w:vanish w:val="0"/>
        </w:rPr>
      </w:pPr>
      <w:r>
        <w:t xml:space="preserve">2. Quỹ bảo toàn được sử dụng để cho vay hỗ trợ có hoàn trả cho quỹ tín dụng nhân dân khi gặp khó khăn về tài chính, khó khăn chi trả để có thể khắc phục trở lại hoạt động bình thường.</w:t>
      </w:r>
    </w:p>
    <w:p>
      <w:pPr>
        <w:pStyle w:val="Normal(Web)"/>
        <w:divId w:val="25"/>
        <w:rPr>
          <w:vanish w:val="0"/>
        </w:rPr>
      </w:pPr>
      <w:r>
        <w:t xml:space="preserve">3. Hoạt động của Quỹ bảo toàn không vì mục tiêu lợi nhuận, theo nguyên tắc tự chủ, tự chịu trách nhiệm.</w:t>
      </w:r>
    </w:p>
    <w:p>
      <w:pPr>
        <w:pStyle w:val="Normal(Web)"/>
        <w:divId w:val="26"/>
        <w:rPr>
          <w:vanish w:val="0"/>
        </w:rPr>
      </w:pPr>
      <w:r>
        <w:t xml:space="preserve">4. Chi phí hoạt động Quỹ bảo toàn được bù đắp từ lãi cho vay, đầu tư của Quỹ bảo toàn.</w:t>
      </w:r>
    </w:p>
    <w:p>
      <w:pPr>
        <w:pStyle w:val="Normal(Web)"/>
        <w:divId w:val="27"/>
        <w:rPr>
          <w:vanish w:val="0"/>
        </w:rPr>
      </w:pPr>
      <w:r>
        <w:t xml:space="preserve">5. Nguồn vốn nhàn rỗi của Quỹ bảo toàn được sử dụng trên nguyên tắc đảm bảo an toàn nguồn vốn và đáp ứng yêu cầu cho vay hỗ trợ các quỹ tín dụng nhân dân.</w:t>
      </w:r>
    </w:p>
    <w:p>
      <w:pPr>
        <w:pStyle w:val="Normal(Web)"/>
        <w:divId w:val="28"/>
        <w:jc w:val="center"/>
        <w:rPr>
          <w:vanish w:val="0"/>
        </w:rPr>
      </w:pPr>
      <w:r>
        <w:rPr>
          <w:b/>
        </w:rPr>
        <w:t xml:space="preserve">Chương II</w:t>
      </w:r>
    </w:p>
    <w:p>
      <w:pPr>
        <w:pStyle w:val="Normal(Web)"/>
        <w:divId w:val="29"/>
        <w:jc w:val="center"/>
        <w:rPr>
          <w:vanish w:val="0"/>
        </w:rPr>
      </w:pPr>
      <w:r>
        <w:rPr>
          <w:b/>
        </w:rPr>
        <w:t xml:space="preserve">QUY ĐỊNH CỤ THỂ</w:t>
      </w:r>
    </w:p>
    <w:p>
      <w:pPr>
        <w:pStyle w:val="Normal(Web)"/>
        <w:divId w:val="30"/>
        <w:rPr>
          <w:vanish w:val="0"/>
        </w:rPr>
      </w:pPr>
      <w:r>
        <w:rPr>
          <w:b/>
        </w:rPr>
        <w:t xml:space="preserve">Điều 4. Trích nộp Quỹ bảo toàn</w:t>
      </w:r>
    </w:p>
    <w:p>
      <w:pPr>
        <w:pStyle w:val="Normal(Web)"/>
        <w:divId w:val="31"/>
        <w:rPr>
          <w:vanish w:val="0"/>
        </w:rPr>
      </w:pPr>
      <w:r>
        <w:t xml:space="preserve">1. Ngân hàng hợp tác xã, quỹ tín dụng nhân dân (trừ trường hợp đang bị áp dụng kiểm soát đặc biệt) có trách nhiệm trích nộp phí tham gia đầy đủ, đúng hạn vào Quỹ bảo toàn một năm một lần trước ngày 31/01 của năm tiếp theo. Việc trích nộp phí tham gia Quỹ bảo toàn của ngân hàng hợp tác xã, quỹ tín dụng nhân dân theo quy định tại Thông tư này bắt đầu thực hiện từ năm tài chính 2014.</w:t>
      </w:r>
    </w:p>
    <w:p>
      <w:pPr>
        <w:pStyle w:val="Normal(Web)"/>
        <w:divId w:val="32"/>
        <w:rPr>
          <w:vanish w:val="0"/>
        </w:rPr>
      </w:pPr>
      <w:r>
        <w:t xml:space="preserve">2. Mức phí trích nộp hàng năm bằng 0,08% dư nợ cho vay bình quân của năm liền kề trước kết thúc vào ngày 31/12 của ngân hàng hợp tác xã, quỹ tín dụng nhân dân.</w:t>
      </w:r>
    </w:p>
    <w:p>
      <w:pPr>
        <w:pStyle w:val="Normal(Web)"/>
        <w:divId w:val="33"/>
        <w:rPr>
          <w:vanish w:val="0"/>
        </w:rPr>
      </w:pPr>
      <w:r>
        <w:t xml:space="preserve">Dư nợ cho vay bình quân năm được tính bằng tổng dư nợ cho vay (nhóm 1 và nhóm 2 theo quy định về phân loại nợ của Ngân hàng Nhà nước Việt Nam) tại thời điểm cuối mỗi tháng trong năm chia cho số tháng phải tính thực tế. Riêng đối với ngân hàng hợp tác xã, số dư nợ cho vay nêu trên được loại trừ phần dư nợ cho vay điều hòa vốn đối với các quỹ tín dụng nhân dân thành viên.</w:t>
      </w:r>
    </w:p>
    <w:p>
      <w:pPr>
        <w:pStyle w:val="Normal(Web)"/>
        <w:divId w:val="34"/>
        <w:rPr>
          <w:vanish w:val="0"/>
        </w:rPr>
      </w:pPr>
      <w:r>
        <w:t xml:space="preserve">Khi tổng nguồn vốn hoạt động của Quỹ bảo toàn đạt 1,5 lần tổng tài sản có của hệ thống tổ chức tín dụng là hợp tác xã, Quỹ bảo toàn sẽ tạm thời ngừng thu phí tham gia của các thành viên và tiếp tục thu phí khi tổng nguồn vốn hoạt động của Quỹ bảo toàn thấp hơn mức nêu trên.</w:t>
      </w:r>
    </w:p>
    <w:p>
      <w:pPr>
        <w:pStyle w:val="Normal(Web)"/>
        <w:divId w:val="35"/>
        <w:rPr>
          <w:vanish w:val="0"/>
        </w:rPr>
      </w:pPr>
      <w:r>
        <w:t xml:space="preserve">Số tiền trích nộp Quỹ bảo toàn được hạch toán vào chi phí hoạt động của ngân hàng hợp tác xã, quỹ tín dụng nhân dân.</w:t>
      </w:r>
    </w:p>
    <w:p>
      <w:pPr>
        <w:pStyle w:val="Normal(Web)"/>
        <w:divId w:val="36"/>
        <w:rPr>
          <w:vanish w:val="0"/>
        </w:rPr>
      </w:pPr>
      <w:r>
        <w:t xml:space="preserve">3. Chênh lệch thu từ lãi và chi phí trong hoạt động của Quỹ bảo toàn, lợi nhuận được để lại từ nguồn vốn hỗ trợ của Nhà nước tại ngân hàng hợp tác xã theo quy định pháp luật được sử dụng bổ sung Quỹ bảo toàn.</w:t>
      </w:r>
    </w:p>
    <w:p>
      <w:pPr>
        <w:pStyle w:val="Normal(Web)"/>
        <w:divId w:val="37"/>
        <w:rPr>
          <w:vanish w:val="0"/>
        </w:rPr>
      </w:pPr>
      <w:r>
        <w:rPr>
          <w:b/>
        </w:rPr>
        <w:t xml:space="preserve">Điều 5. Quản lý Quỹ bảo toàn</w:t>
      </w:r>
    </w:p>
    <w:p>
      <w:pPr>
        <w:pStyle w:val="Normal(Web)"/>
        <w:divId w:val="38"/>
        <w:rPr>
          <w:vanish w:val="0"/>
        </w:rPr>
      </w:pPr>
      <w:r>
        <w:t xml:space="preserve">1. Quỹ bảo toàn được quản lý theo Quy chế quản lý và sử dụng Quỹ bảo toàn do ngân hàng hợp tác xã xây dựng và ban hành sau khi được Đại hội thành viên ngân hàng hợp tác xã thông qua để thực hiện trong toàn hệ thống quỹ tín dụng nhân dân. Việc sửa đổi, bổ sung Quy chế quản lý và sử dụng Quỹ bảo toàn phải được Đại hội thành viên ngân hàng hợp tác xã thông qua.</w:t>
      </w:r>
    </w:p>
    <w:p>
      <w:pPr>
        <w:pStyle w:val="Normal(Web)"/>
        <w:divId w:val="39"/>
        <w:rPr>
          <w:vanish w:val="0"/>
        </w:rPr>
      </w:pPr>
      <w:r>
        <w:t xml:space="preserve">2. Quy chế quản lý và sử dụng Quỹ bảo toàn tối thiểu phải có các nội dung sau:</w:t>
      </w:r>
    </w:p>
    <w:p>
      <w:pPr>
        <w:pStyle w:val="Normal(Web)"/>
        <w:divId w:val="40"/>
        <w:rPr>
          <w:vanish w:val="0"/>
        </w:rPr>
      </w:pPr>
      <w:r>
        <w:t xml:space="preserve">a) Nguyên tắc tổ chức quản lý, sử dụng Quỹ bảo toàn là cho vay hỗ trợ có hoàn trả cho quỹ tín dụng nhân dân khi gặp khó khăn về tài chính, khó khăn chi trả để có thể khắc phục trở lại hoạt động bình thường; không vì mục tiêu lợi nhuận, tự chủ, tự chịu trách nhiệm;</w:t>
      </w:r>
    </w:p>
    <w:p>
      <w:pPr>
        <w:pStyle w:val="Normal(Web)"/>
        <w:divId w:val="41"/>
        <w:rPr>
          <w:vanish w:val="0"/>
        </w:rPr>
      </w:pPr>
      <w:r>
        <w:t xml:space="preserve">b) Các quy định cụ thể về việc sử dụng Quỹ bảo toàn, trong đó:</w:t>
      </w:r>
    </w:p>
    <w:p>
      <w:pPr>
        <w:pStyle w:val="Normal(Web)"/>
        <w:divId w:val="42"/>
        <w:rPr>
          <w:vanish w:val="0"/>
        </w:rPr>
      </w:pPr>
      <w:r>
        <w:t xml:space="preserve">- Quỹ tín dụng nhân dân được vay hỗ trợ theo quy định tại Khoản 1 Điều 6 Thông tư này;</w:t>
      </w:r>
    </w:p>
    <w:p>
      <w:pPr>
        <w:pStyle w:val="Normal(Web)"/>
        <w:divId w:val="43"/>
        <w:rPr>
          <w:vanish w:val="0"/>
        </w:rPr>
      </w:pPr>
      <w:r>
        <w:t xml:space="preserve">- Trình tự, thủ tục, hồ sơ đề nghị cho vay hỗ trợ;</w:t>
      </w:r>
    </w:p>
    <w:p>
      <w:pPr>
        <w:pStyle w:val="Normal(Web)"/>
        <w:divId w:val="44"/>
        <w:rPr>
          <w:vanish w:val="0"/>
        </w:rPr>
      </w:pPr>
      <w:r>
        <w:t xml:space="preserve">- Mức cho vay hỗ trợ; thời hạn cho vay hỗ trợ; lãi suất cho vay hỗ trợ; các cam kết khi nhận cho vay hỗ trợ.</w:t>
      </w:r>
    </w:p>
    <w:p>
      <w:pPr>
        <w:pStyle w:val="Normal(Web)"/>
        <w:divId w:val="45"/>
        <w:rPr>
          <w:vanish w:val="0"/>
        </w:rPr>
      </w:pPr>
      <w:r>
        <w:t xml:space="preserve">c) Cơ chế giải ngân nguồn vốn cho vay hỗ trợ;</w:t>
      </w:r>
    </w:p>
    <w:p>
      <w:pPr>
        <w:pStyle w:val="Normal(Web)"/>
        <w:divId w:val="46"/>
        <w:rPr>
          <w:vanish w:val="0"/>
        </w:rPr>
      </w:pPr>
      <w:r>
        <w:t xml:space="preserve">d) Các biện pháp theo dõi, chấn chỉnh, củng cố hoạt động của quỹ tín dụng nhân dân được vay hỗ trợ; cơ chế kiểm tra, giám sát việc sử dụng vốn vay của quỹ tín dụng nhân dân được hỗ trợ;</w:t>
      </w:r>
    </w:p>
    <w:p>
      <w:pPr>
        <w:pStyle w:val="Normal(Web)"/>
        <w:divId w:val="47"/>
        <w:rPr>
          <w:vanish w:val="0"/>
        </w:rPr>
      </w:pPr>
      <w:r>
        <w:t xml:space="preserve">đ) Nguyên tắc, điều kiện, thẩm quyền xử lý rủi ro đối với các khoản cho vay hỗ trợ không thu hồi được vốn;</w:t>
      </w:r>
    </w:p>
    <w:p>
      <w:pPr>
        <w:pStyle w:val="Normal(Web)"/>
        <w:divId w:val="48"/>
        <w:rPr>
          <w:vanish w:val="0"/>
        </w:rPr>
      </w:pPr>
      <w:r>
        <w:t xml:space="preserve">e) Việc sử dụng nguồn vốn tạm thời nhàn rỗi của Quỹ bảo toàn;</w:t>
      </w:r>
    </w:p>
    <w:p>
      <w:pPr>
        <w:pStyle w:val="Normal(Web)"/>
        <w:divId w:val="49"/>
        <w:rPr>
          <w:vanish w:val="0"/>
        </w:rPr>
      </w:pPr>
      <w:r>
        <w:t xml:space="preserve">g) Cơ chế thu, chi tài chính phục vụ cho hoạt động của Quỹ bảo toàn theo quy định của pháp luật có liên quan;</w:t>
      </w:r>
    </w:p>
    <w:p>
      <w:pPr>
        <w:pStyle w:val="Normal(Web)"/>
        <w:divId w:val="50"/>
        <w:rPr>
          <w:vanish w:val="0"/>
        </w:rPr>
      </w:pPr>
      <w:r>
        <w:t xml:space="preserve">h) Quy định chế độ báo cáo của các quỹ tín dụng nhân dân được vay hỗ trợ.</w:t>
      </w:r>
    </w:p>
    <w:p>
      <w:pPr>
        <w:pStyle w:val="Normal(Web)"/>
        <w:divId w:val="51"/>
        <w:rPr>
          <w:vanish w:val="0"/>
        </w:rPr>
      </w:pPr>
      <w:r>
        <w:rPr>
          <w:b/>
        </w:rPr>
        <w:t xml:space="preserve">Điều 6. Sử dụng Quỹ bảo toàn</w:t>
      </w:r>
    </w:p>
    <w:p>
      <w:pPr>
        <w:pStyle w:val="Normal(Web)"/>
        <w:divId w:val="52"/>
        <w:rPr>
          <w:vanish w:val="0"/>
        </w:rPr>
      </w:pPr>
      <w:r>
        <w:t xml:space="preserve">1. Quỹ bảo toàn được sử dụng để cho vay hỗ trợ các quỹ tín dụng nhân dân khi gặp khó khăn về tài chính, khó khăn chi trả để có thể khắc phục trở lại hoạt động bình thường.</w:t>
      </w:r>
    </w:p>
    <w:p>
      <w:pPr>
        <w:pStyle w:val="Normal(Web)"/>
        <w:divId w:val="53"/>
        <w:rPr>
          <w:vanish w:val="0"/>
        </w:rPr>
      </w:pPr>
      <w:r>
        <w:t xml:space="preserve">2. Trên cơ sở đảm bảo an toàn nguồn vốn và đáp ứng yêu cầu cho vay hỗ trợ các quỹ tín dụng nhân dân, nguồn vốn tạm thời nhàn rỗi của Quỹ bảo toàn được:</w:t>
      </w:r>
    </w:p>
    <w:p>
      <w:pPr>
        <w:pStyle w:val="Normal(Web)"/>
        <w:divId w:val="54"/>
        <w:rPr>
          <w:vanish w:val="0"/>
        </w:rPr>
      </w:pPr>
      <w:r>
        <w:t xml:space="preserve">a) Gửi tại ngân hàng hợp tác xã, ngân hàng thương mại theo quy định tại Quy chế quản lý và sử dụng Quỹ bảo toàn;</w:t>
      </w:r>
    </w:p>
    <w:p>
      <w:pPr>
        <w:pStyle w:val="Normal(Web)"/>
        <w:divId w:val="55"/>
        <w:rPr>
          <w:vanish w:val="0"/>
        </w:rPr>
      </w:pPr>
      <w:r>
        <w:t xml:space="preserve">b) Mua trái phiếu Chính phủ, tín phiếu Kho bạc, tín phiếu Ngân hàng Nhà nước Việt Nam.</w:t>
      </w:r>
    </w:p>
    <w:p>
      <w:pPr>
        <w:pStyle w:val="Normal(Web)"/>
        <w:divId w:val="56"/>
        <w:rPr>
          <w:vanish w:val="0"/>
        </w:rPr>
      </w:pPr>
      <w:r>
        <w:rPr>
          <w:b/>
        </w:rPr>
        <w:t xml:space="preserve">Điều 7. Hồ sơ, trình tự, thủ tục, thời hạn, lãi suất cho vay hỗ trợ từ Quỹ bảo toàn</w:t>
      </w:r>
    </w:p>
    <w:p>
      <w:pPr>
        <w:pStyle w:val="Normal(Web)"/>
        <w:divId w:val="57"/>
        <w:rPr>
          <w:vanish w:val="0"/>
        </w:rPr>
      </w:pPr>
      <w:r>
        <w:t xml:space="preserve">Hồ sơ, trình tự, thủ tục, thời hạn, lãi suất cho vay hỗ trợ thực hiện theo Quy chế quản lý và sử dụng Quỹ bảo toàn do ngân hàng hợp tác xã ban hành.</w:t>
      </w:r>
    </w:p>
    <w:p>
      <w:pPr>
        <w:pStyle w:val="Normal(Web)"/>
        <w:divId w:val="58"/>
        <w:rPr>
          <w:vanish w:val="0"/>
        </w:rPr>
      </w:pPr>
      <w:r>
        <w:rPr>
          <w:b/>
        </w:rPr>
        <w:t xml:space="preserve">Điều 8. Chấm dứt, thanh lý Quỹ bảo toàn</w:t>
      </w:r>
    </w:p>
    <w:p>
      <w:pPr>
        <w:pStyle w:val="Normal(Web)"/>
        <w:divId w:val="59"/>
        <w:rPr>
          <w:vanish w:val="0"/>
        </w:rPr>
      </w:pPr>
      <w:r>
        <w:t xml:space="preserve">Việc chấm dứt, thanh lý Quỹ bảo toàn thực hiện theo quyết định của Ngân hàng Nhà nước Việt Nam.</w:t>
      </w:r>
    </w:p>
    <w:p>
      <w:pPr>
        <w:pStyle w:val="Normal(Web)"/>
        <w:divId w:val="60"/>
        <w:jc w:val="center"/>
        <w:rPr>
          <w:vanish w:val="0"/>
        </w:rPr>
      </w:pPr>
      <w:r>
        <w:rPr>
          <w:b/>
        </w:rPr>
        <w:t xml:space="preserve">Chương III</w:t>
      </w:r>
    </w:p>
    <w:p>
      <w:pPr>
        <w:pStyle w:val="Normal(Web)"/>
        <w:divId w:val="61"/>
        <w:jc w:val="center"/>
        <w:rPr>
          <w:vanish w:val="0"/>
        </w:rPr>
      </w:pPr>
      <w:r>
        <w:rPr>
          <w:b/>
        </w:rPr>
        <w:t xml:space="preserve">BÁO CÁO VÀ KIỂM TRA, GIÁM SÁT</w:t>
      </w:r>
    </w:p>
    <w:p>
      <w:pPr>
        <w:pStyle w:val="Normal(Web)"/>
        <w:divId w:val="62"/>
        <w:rPr>
          <w:vanish w:val="0"/>
        </w:rPr>
      </w:pPr>
      <w:r>
        <w:rPr>
          <w:b/>
        </w:rPr>
        <w:t xml:space="preserve">Điều 9. Báo cáo với Cơ quan quản lý Nhà nước</w:t>
      </w:r>
    </w:p>
    <w:p>
      <w:pPr>
        <w:pStyle w:val="Normal(Web)"/>
        <w:divId w:val="63"/>
        <w:rPr>
          <w:vanish w:val="0"/>
        </w:rPr>
      </w:pPr>
      <w:r>
        <w:t xml:space="preserve">1. Hằng năm, chậm nhất vào ngày 15/7, ngân hàng hợp tác xã có trách nhiệm gửi báo cáo tình hình hoạt động 6 tháng đầu năm của Quỹ bảo toàn cho Ngân hàng Nhà nước Việt Nam (Cơ quan Thanh tra, giám sát ngân hàng).</w:t>
      </w:r>
    </w:p>
    <w:p>
      <w:pPr>
        <w:pStyle w:val="Normal(Web)"/>
        <w:divId w:val="64"/>
        <w:rPr>
          <w:vanish w:val="0"/>
        </w:rPr>
      </w:pPr>
      <w:r>
        <w:t xml:space="preserve">2. Hằng năm, chậm nhất sau 45 ngày kể từ ngày kết thúc năm tài chính, ngân hàng hợp tác xã có trách nhiệm gửi các báo cáo cho Ngân hàng Nhà nước Việt Nam (Cơ quan Thanh tra, giám sát ngân hàng):</w:t>
      </w:r>
    </w:p>
    <w:p>
      <w:pPr>
        <w:pStyle w:val="Normal(Web)"/>
        <w:divId w:val="65"/>
        <w:rPr>
          <w:vanish w:val="0"/>
        </w:rPr>
      </w:pPr>
      <w:r>
        <w:t xml:space="preserve">a) Báo cáo tình hình hoạt động và báo cáo tình hình tài chính năm trước của Quỹ bảo toàn;</w:t>
      </w:r>
    </w:p>
    <w:p>
      <w:pPr>
        <w:pStyle w:val="Normal(Web)"/>
        <w:divId w:val="66"/>
        <w:rPr>
          <w:vanish w:val="0"/>
        </w:rPr>
      </w:pPr>
      <w:r>
        <w:t xml:space="preserve">b) Báo cáo về kết quả giám sát, kiểm toán nội bộ của Ban kiểm soát ngân hàng hợp tác xã về hình hình hoạt động và kết quả tài chính của Quỹ bảo toàn.</w:t>
      </w:r>
    </w:p>
    <w:p>
      <w:pPr>
        <w:pStyle w:val="Normal(Web)"/>
        <w:divId w:val="67"/>
        <w:rPr>
          <w:vanish w:val="0"/>
        </w:rPr>
      </w:pPr>
      <w:r>
        <w:t xml:space="preserve">3. Báo cáo đột xuất theo yêu cầu của Ngân hàng Nhà nước Việt Nam.</w:t>
      </w:r>
    </w:p>
    <w:p>
      <w:pPr>
        <w:pStyle w:val="Normal(Web)"/>
        <w:divId w:val="68"/>
        <w:rPr>
          <w:vanish w:val="0"/>
        </w:rPr>
      </w:pPr>
      <w:r>
        <w:rPr>
          <w:b/>
        </w:rPr>
        <w:t xml:space="preserve">Điều 10. Báo cáo nội bộ</w:t>
      </w:r>
    </w:p>
    <w:p>
      <w:pPr>
        <w:pStyle w:val="Normal(Web)"/>
        <w:divId w:val="69"/>
        <w:rPr>
          <w:vanish w:val="0"/>
        </w:rPr>
      </w:pPr>
      <w:r>
        <w:t xml:space="preserve">Ngân hàng hợp tác xã có trách nhiệm gửi báo cáo tình hình hoạt động và tình hình tài chính năm của Quỹ bảo toàn cho các thành viên chậm nhất vào ngày 31/01 hằng năm; đồng thời chịu trách nhiệm báo cáo, giải trình theo yêu cầu của các thành viên đối với các báo cáo nêu trên.</w:t>
      </w:r>
    </w:p>
    <w:p>
      <w:pPr>
        <w:pStyle w:val="Normal(Web)"/>
        <w:divId w:val="70"/>
        <w:rPr>
          <w:vanish w:val="0"/>
        </w:rPr>
      </w:pPr>
      <w:r>
        <w:rPr>
          <w:b/>
        </w:rPr>
        <w:t xml:space="preserve">Điều 11. Quản lý, giám sát của cơ quan quản lý Nhà nước</w:t>
      </w:r>
    </w:p>
    <w:p>
      <w:pPr>
        <w:pStyle w:val="Normal(Web)"/>
        <w:divId w:val="71"/>
        <w:rPr>
          <w:vanish w:val="0"/>
        </w:rPr>
      </w:pPr>
      <w:r>
        <w:t xml:space="preserve">Ngân hàng Nhà nước Việt Nam thanh tra, giám sát ngân hàng hợp tác xã trong việc lập, quản lý và sử dụng Quỹ bảo toàn.</w:t>
      </w:r>
    </w:p>
    <w:p>
      <w:pPr>
        <w:pStyle w:val="Normal(Web)"/>
        <w:divId w:val="72"/>
        <w:jc w:val="center"/>
        <w:rPr>
          <w:vanish w:val="0"/>
        </w:rPr>
      </w:pPr>
      <w:r>
        <w:rPr>
          <w:b/>
        </w:rPr>
        <w:t xml:space="preserve">Chương IV</w:t>
      </w:r>
    </w:p>
    <w:p>
      <w:pPr>
        <w:pStyle w:val="Normal(Web)"/>
        <w:divId w:val="73"/>
        <w:jc w:val="center"/>
        <w:rPr>
          <w:vanish w:val="0"/>
        </w:rPr>
      </w:pPr>
      <w:r>
        <w:rPr>
          <w:b/>
        </w:rPr>
        <w:t xml:space="preserve">TRÁCH NHIỆM CỦA CÁC ĐƠN VỊ LIÊN QUAN</w:t>
      </w:r>
    </w:p>
    <w:p>
      <w:pPr>
        <w:pStyle w:val="Normal(Web)"/>
        <w:divId w:val="74"/>
        <w:rPr>
          <w:vanish w:val="0"/>
        </w:rPr>
      </w:pPr>
      <w:r>
        <w:rPr>
          <w:b/>
        </w:rPr>
        <w:t xml:space="preserve">Điều 12. Trách nhiệm của Ngân hàng Nhà nước Việt Nam</w:t>
      </w:r>
    </w:p>
    <w:p>
      <w:pPr>
        <w:pStyle w:val="Normal(Web)"/>
        <w:divId w:val="75"/>
        <w:rPr>
          <w:vanish w:val="0"/>
        </w:rPr>
      </w:pPr>
      <w:r>
        <w:t xml:space="preserve">1. Cơ quan Thanh tra, giám sát ngân hàng:</w:t>
      </w:r>
    </w:p>
    <w:p>
      <w:pPr>
        <w:pStyle w:val="Normal(Web)"/>
        <w:divId w:val="76"/>
        <w:rPr>
          <w:vanish w:val="0"/>
        </w:rPr>
      </w:pPr>
      <w:r>
        <w:t xml:space="preserve">Thanh tra, giám sát ngân hàng hợp tác xã trong việc lập, quản lý và sử dụng Quỹ bảo toàn theo quy định tại Thông tư này.</w:t>
      </w:r>
    </w:p>
    <w:p>
      <w:pPr>
        <w:pStyle w:val="Normal(Web)"/>
        <w:divId w:val="77"/>
        <w:rPr>
          <w:vanish w:val="0"/>
        </w:rPr>
      </w:pPr>
      <w:r>
        <w:t xml:space="preserve">2. Các đơn vị thuộc Ngân hàng Nhà nước Việt Nam:</w:t>
      </w:r>
    </w:p>
    <w:p>
      <w:pPr>
        <w:pStyle w:val="Normal(Web)"/>
        <w:divId w:val="78"/>
        <w:rPr>
          <w:vanish w:val="0"/>
        </w:rPr>
      </w:pPr>
      <w:r>
        <w:t xml:space="preserve">Phối hợp với Cơ quan Thanh tra, giám sát ngân hàng xử lý các vấn đề vướng mắc, khó khăn trong quá trình triển khai lập, quản lý và sử dụng Quỹ bảo toàn.</w:t>
      </w:r>
    </w:p>
    <w:p>
      <w:pPr>
        <w:pStyle w:val="Normal(Web)"/>
        <w:divId w:val="79"/>
        <w:rPr>
          <w:vanish w:val="0"/>
        </w:rPr>
      </w:pPr>
      <w:r>
        <w:rPr>
          <w:b/>
        </w:rPr>
        <w:t xml:space="preserve">Điều 13. Trách nhiệm của ngân hàng hợp tác xã</w:t>
      </w:r>
    </w:p>
    <w:p>
      <w:pPr>
        <w:pStyle w:val="Normal(Web)"/>
        <w:divId w:val="80"/>
        <w:rPr>
          <w:vanish w:val="0"/>
        </w:rPr>
      </w:pPr>
      <w:r>
        <w:t xml:space="preserve">1. Lập Quỹ bảo toàn theo quy định tại Thông tư này.</w:t>
      </w:r>
    </w:p>
    <w:p>
      <w:pPr>
        <w:pStyle w:val="Normal(Web)"/>
        <w:divId w:val="81"/>
        <w:rPr>
          <w:vanish w:val="0"/>
        </w:rPr>
      </w:pPr>
      <w:r>
        <w:t xml:space="preserve">2. Tính, nộp đúng hạn và đầy đủ phí tham gia vào Quỹ bảo toàn.</w:t>
      </w:r>
    </w:p>
    <w:p>
      <w:pPr>
        <w:pStyle w:val="Normal(Web)"/>
        <w:divId w:val="82"/>
        <w:rPr>
          <w:vanish w:val="0"/>
        </w:rPr>
      </w:pPr>
      <w:r>
        <w:t xml:space="preserve">3. Kiểm tra việc tính, trích nộp phí và đôn đốc các quỹ tín dụng nhân dân nộp đúng hạn, đầy đủ phí tham gia vào Quỹ bảo toàn.</w:t>
      </w:r>
    </w:p>
    <w:p>
      <w:pPr>
        <w:pStyle w:val="Normal(Web)"/>
        <w:divId w:val="83"/>
        <w:rPr>
          <w:vanish w:val="0"/>
        </w:rPr>
      </w:pPr>
      <w:r>
        <w:t xml:space="preserve">4. Quản lý, sử dụng và chịu trách nhiệm về việc sử dụng Quỹ bảo toàn.</w:t>
      </w:r>
    </w:p>
    <w:p>
      <w:pPr>
        <w:pStyle w:val="Normal(Web)"/>
        <w:divId w:val="84"/>
        <w:rPr>
          <w:vanish w:val="0"/>
        </w:rPr>
      </w:pPr>
      <w:r>
        <w:t xml:space="preserve">5. Xây dựng Quy chế quản lý và sử dụng Quỹ bảo toàn, trình Đại hội thành viên ngân hàng hợp tác xã thông qua để ban hành và thực hiện trong toàn hệ thống quỹ tín dụng nhân dân theo quy định tại Khoản 2 Điều 5 Thông tư này và các quy định của pháp luật có liên quan.</w:t>
      </w:r>
    </w:p>
    <w:p>
      <w:pPr>
        <w:pStyle w:val="Normal(Web)"/>
        <w:divId w:val="85"/>
        <w:rPr>
          <w:vanish w:val="0"/>
        </w:rPr>
      </w:pPr>
      <w:r>
        <w:t xml:space="preserve">6. Báo cáo tình hình hoạt động và tình hình tài chính của Quỹ bảo toàn tại Đại hội thành viên của ngân hàng hợp tác xã.</w:t>
      </w:r>
    </w:p>
    <w:p>
      <w:pPr>
        <w:pStyle w:val="Normal(Web)"/>
        <w:divId w:val="86"/>
        <w:rPr>
          <w:vanish w:val="0"/>
        </w:rPr>
      </w:pPr>
      <w:r>
        <w:t xml:space="preserve">7. Thực hiện nghiêm túc chế độ báo cáo với Cơ quan quản lý Nhà nước.</w:t>
      </w:r>
    </w:p>
    <w:p>
      <w:pPr>
        <w:pStyle w:val="Normal(Web)"/>
        <w:divId w:val="87"/>
        <w:rPr>
          <w:vanish w:val="0"/>
        </w:rPr>
      </w:pPr>
      <w:r>
        <w:rPr>
          <w:b/>
        </w:rPr>
        <w:t xml:space="preserve">Điều 14. Trách nhiệm của quỹ tín dụng nhân dân</w:t>
      </w:r>
    </w:p>
    <w:p>
      <w:pPr>
        <w:pStyle w:val="Normal(Web)"/>
        <w:divId w:val="88"/>
        <w:rPr>
          <w:vanish w:val="0"/>
        </w:rPr>
      </w:pPr>
      <w:r>
        <w:t xml:space="preserve">1. Tính, nộp đúng hạn và đầy đủ phí tham gia vào Quỹ bảo toàn.</w:t>
      </w:r>
    </w:p>
    <w:p>
      <w:pPr>
        <w:pStyle w:val="Normal(Web)"/>
        <w:divId w:val="89"/>
        <w:rPr>
          <w:vanish w:val="0"/>
        </w:rPr>
      </w:pPr>
      <w:r>
        <w:t xml:space="preserve">2. Thực hiện nghiêm túc Quy chế quản lý và sử dụng Quỹ bảo toàn và các quy định của pháp luật có liên quan.</w:t>
      </w:r>
    </w:p>
    <w:p>
      <w:pPr>
        <w:pStyle w:val="Normal(Web)"/>
        <w:divId w:val="90"/>
        <w:rPr>
          <w:vanish w:val="0"/>
        </w:rPr>
      </w:pPr>
      <w:r>
        <w:t xml:space="preserve">3. Sử dụng đúng mục đích khoản vay hỗ trợ từ Quỹ bảo toàn.</w:t>
      </w:r>
    </w:p>
    <w:p>
      <w:pPr>
        <w:pStyle w:val="Normal(Web)"/>
        <w:divId w:val="91"/>
        <w:jc w:val="center"/>
        <w:rPr>
          <w:vanish w:val="0"/>
        </w:rPr>
      </w:pPr>
      <w:r>
        <w:rPr>
          <w:b/>
        </w:rPr>
        <w:t xml:space="preserve">Chương V</w:t>
      </w:r>
    </w:p>
    <w:p>
      <w:pPr>
        <w:pStyle w:val="Normal(Web)"/>
        <w:divId w:val="92"/>
        <w:jc w:val="center"/>
        <w:rPr>
          <w:vanish w:val="0"/>
        </w:rPr>
      </w:pPr>
      <w:r>
        <w:rPr>
          <w:b/>
        </w:rPr>
        <w:t xml:space="preserve">TỔ CHỨC THỰC HIỆN</w:t>
      </w:r>
    </w:p>
    <w:p>
      <w:pPr>
        <w:pStyle w:val="Normal(Web)"/>
        <w:divId w:val="93"/>
        <w:rPr>
          <w:vanish w:val="0"/>
        </w:rPr>
      </w:pPr>
      <w:r>
        <w:rPr>
          <w:b/>
        </w:rPr>
        <w:t xml:space="preserve">Điều 15. Quy định chuyển tiếp</w:t>
      </w:r>
    </w:p>
    <w:p>
      <w:pPr>
        <w:pStyle w:val="Normal(Web)"/>
        <w:divId w:val="94"/>
        <w:rPr>
          <w:vanish w:val="0"/>
        </w:rPr>
      </w:pPr>
      <w:r>
        <w:t xml:space="preserve">1. Chuyển toàn bộ khoản phí các quỹ tín dụng nhân dân đã trích nộp tham gia thí điểm Quỹ an toàn hệ thống quỹ tín dụng nhân dân vào Quỹ bảo toàn. Khoản phí của quỹ tín dụng nhân dân đã trích nộp tham gia thí điểm Quỹ an toàn hệ thống quỹ tín dụng nhân dân được trừ vào số phí phải nộp của năm 2014 và các năm tiếp theo.</w:t>
      </w:r>
    </w:p>
    <w:p>
      <w:pPr>
        <w:pStyle w:val="Normal(Web)"/>
        <w:divId w:val="95"/>
        <w:rPr>
          <w:vanish w:val="0"/>
        </w:rPr>
      </w:pPr>
      <w:r>
        <w:t xml:space="preserve">2. Chuyển toàn bộ dư nợ các khoản đã cho vay trong thời gian thực hiện thí điểm Quỹ an toàn hệ thống quỹ tín dụng nhân dân vào Quỹ bảo toàn. Các quỹ tín dụng nhân dân có dư nợ trong thời gian thí điểm Quỹ an toàn hệ thống quỹ tín dụng nhân dân phải nhận nợ và trả nợ đã vay cho Quỹ bảo toàn.</w:t>
      </w:r>
    </w:p>
    <w:p>
      <w:pPr>
        <w:pStyle w:val="Normal(Web)"/>
        <w:divId w:val="96"/>
        <w:rPr>
          <w:vanish w:val="0"/>
        </w:rPr>
      </w:pPr>
      <w:r>
        <w:t xml:space="preserve">3. Ngân hàng hợp tác xã hướng dẫn cụ thể trình tự, thủ tục việc chuyển tiếp quy định tại Khoản 1 và 2 Điều này.</w:t>
      </w:r>
    </w:p>
    <w:p>
      <w:pPr>
        <w:pStyle w:val="Normal(Web)"/>
        <w:divId w:val="97"/>
        <w:rPr>
          <w:vanish w:val="0"/>
        </w:rPr>
      </w:pPr>
      <w:r>
        <w:rPr>
          <w:b/>
        </w:rPr>
        <w:t xml:space="preserve">Điều 16. Hiệu lực thi hành</w:t>
      </w:r>
    </w:p>
    <w:p>
      <w:pPr>
        <w:pStyle w:val="Normal(Web)"/>
        <w:divId w:val="98"/>
        <w:rPr>
          <w:vanish w:val="0"/>
        </w:rPr>
      </w:pPr>
      <w:r>
        <w:t xml:space="preserve">Thông tư này có hiệu lực từ ngày 15 tháng 3 năm 2014.</w:t>
      </w:r>
    </w:p>
    <w:p>
      <w:pPr>
        <w:pStyle w:val="Normal(Web)"/>
        <w:divId w:val="99"/>
        <w:rPr>
          <w:vanish w:val="0"/>
        </w:rPr>
      </w:pPr>
      <w:r>
        <w:rPr>
          <w:b/>
        </w:rPr>
        <w:t xml:space="preserve">Điều 17. Tổ chức thực hiện</w:t>
      </w:r>
    </w:p>
    <w:p>
      <w:pPr>
        <w:pStyle w:val="Normal(Web)"/>
        <w:divId w:val="100"/>
        <w:rPr>
          <w:vanish w:val="0"/>
        </w:rPr>
      </w:pPr>
      <w:r>
        <w:t xml:space="preserve">Chánh Văn phòng, Chánh Thanh tra, giám sát ngân hàng, Thủ trưởng các đơn vị thuộc Ngân hàng Nhà nước Việt Nam, Giám đốc Ngân hàng Nhà nước chi nhánh các tỉnh, thành phố trực thuộc Trung ương, Chủ tịch Hội đồng quản trị, Tổng giám đốc (Giám đốc) ngân hàng hợp tác xã, quỹ tín dụng nhân dân chịu trách nhiệm tổ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Đặng Thanh Bình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14-tt-nhnn-cua-ngan-hang-nha-nuoc-viet-nam---quy-dinh-ve-quy-bao-dam-an-toan-he-thong-quy-tin-dung-nhan-dan.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yperlink" Target="/nghi-dinh-156-2013-nd-cp-quy-dinh-chuc-nang-nhiem-vu-to-chuc-ngan-hang-nha-nuoc-viet-n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2022-06-21T16:45:32Z</dcterms:created>
  <dcterms:modified xsi:type="dcterms:W3CDTF">2022-06-21T16:45:32Z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2022-06-21T16:45:32Z</dcterms:created>
  <dcterms:modified xsi:type="dcterms:W3CDTF">2022-06-21T16:45:32Z</dcterms:modified>
</cp:coreProperties>
</file>