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CÔNG THƯƠNG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31/2013/TT-BCT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15 tháng 11 năm 2013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THÔNG TƯ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 định thực hiện quy tắc xuất xứ trong Hiệp định khu vực thương mại tự do Việt Nam - Chi Lê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___________________________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Nghị định số 95/2012/NĐ-CP ngày 12 tháng 11 năm 2012 của Chính phủ quy định chức năng, nhiệm vụ, quyền hạn và cơ cấu tổ chức của Bộ Công Thương;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Hiệp định khu vực thương mại tự do Việt Nam - Chi Lê được Bộ trưởng hai nước ký kết ngày 11 tháng 11 năm 2011 tại Hô-nô-lu-lu, Ha-oai, Hoa Kỳ;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Hiệp định khu vực thương mại tự do Việt Nam - Chi Lê ngày 11 tháng 11 năm 2011 tại Hô-nô-lu-lu, Ha-oai, Hoa Kỳ được hai nước ký sửa đổi ngày 20 tháng 5 năm 2013;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19/2006/NĐ-CP </w:t>
        </w:r>
      </w:hyperlink>
      <w:r>
        <w:rPr>
          <w:i/>
        </w:rPr>
        <w:t xml:space="preserve"> ngày 20 tháng 02 năm 2006 của Chính phủ quy định chi tiết Luật Thương mại về xuất xứ hàng hóa.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Bộ trưởng Bộ Công Thương ban hành Thông tư quy định thực hiện Quy tắc xuất xứ trong Hiệp định khu vực thương mại tự do Việt Nam - Chi Lê như sau: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1.</w:t>
      </w:r>
      <w:r>
        <w:t xml:space="preserve"> Ban hành kèm theo Thông tư này: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1. Quy tắc xuất xứ (Phụ lục I);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 Quy tắc cụ thể mặt hàng (Phụ lục II);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3. Thủ tục cấp và kiểm tra Giấy chứng nhận xuất xứ hàng hóa (Phụ lục III);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4. Mẫu Giấy chứng nhận xuất xứ hàng hóa VC (trong Thông tư này gọi tắt là C/O Mẫu VC) của Việt Nam (Phụ lục IV-A);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5. Mẫu C/O VC của Chi Lê (Phụ lục IV-B);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6. Hướng dẫn kê khai C/O (Phụ lục V); và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7. Danh mục các Tổ chức cấp C/O (Phụ lục VI).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2.</w:t>
      </w:r>
      <w:r>
        <w:t xml:space="preserve">Ngoài thủ tục cấp và kiểm tra C/O quy định tại Phụ lục III ban hành kèm theo Thông tư này, thủ tục cấp C/O Mẫu VC của Việt Nam được thực hiện theo quy định tại Thông tư số 06/2011/TT-BCT ngày 21 tháng 3 năm 2011 của Bộ Công Thương quy định thủ tục cấp giấy chứng nhận xuất xứ hàng hóa ưu đãi và Thông tư số 01/2013/TT-BCT ngày 3 tháng 01 năm 2013 của Bộ Công Thương sửa đổi, bổ sung Thông tư số 06/2011/TT-BCT ngày 21 tháng 3 năm 2011 nêu trên.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3.</w:t>
      </w:r>
      <w:r>
        <w:t xml:space="preserve"> Thông tư này có hiệu lực thi hành kể từ ngày 01 tháng 01 năm 2014./.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KT. BỘ TRƯỞNG </w:t>
            </w:r>
            <w:r>
              <w:rPr/>
              <w:br/>
            </w:r>
            <w:r>
              <w:t xml:space="preserve">Thứ trưởng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Trần Tuấn Anh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so-31-2013-tt-bct-cua-bo-cong-thuong---quy-dinh-thuc-hien-quy-tac-xuat-xu-trong-hiep-dinh-khu-vuc-thuong-mai-tu-do-viet-nam---chi-le.aspx" TargetMode="External" /><Relationship Id="rId4" Type="http://schemas.openxmlformats.org/officeDocument/2006/relationships/hyperlink" Target="/nghi-dinh-19-2006-nd-cp-cua-chinh-phu-ve-viec-quy-dinh-chi-tiet-luat-thuong-mai-ve-xuat-xu-hang-hoa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2022-06-21T16:45:23Z</dcterms:created>
  <dcterms:modified xsi:type="dcterms:W3CDTF">2022-06-21T16:45:23Z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2022-06-21T16:45:23Z</dcterms:created>
  <dcterms:modified xsi:type="dcterms:W3CDTF">2022-06-21T16:45:23Z</dcterms:modified>
</cp:coreProperties>
</file>