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w:t>
            </w:r>
          </w:p>
          <w:p>
            <w:pPr>
              <w:pStyle w:val="Normal(Web)"/>
              <w:divId w:val="3"/>
              <w:jc w:val="center"/>
              <w:rPr>
                <w:vanish w:val="0"/>
              </w:rPr>
            </w:pPr>
            <w:r>
              <w:t xml:space="preserve">Số: </w:t>
            </w:r>
            <w:hyperlink r:id="rId3" w:history="1">
              <w:r>
                <w:rPr>
                  <w:rStyle w:val="Hyperlink"/>
                </w:rPr>
                <w:t xml:space="preserve">57/2012/TT-BGDĐT </w:t>
              </w:r>
            </w:hyperlink>
            <w:r>
              <w:t xml:space="preserve">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b/>
              </w:rPr>
              <w:t xml:space="preserve">----------------------</w:t>
            </w:r>
          </w:p>
          <w:p>
            <w:pPr>
              <w:pStyle w:val="Normal(Web)"/>
              <w:divId w:val="7"/>
              <w:jc w:val="right"/>
              <w:rPr>
                <w:vanish w:val="0"/>
              </w:rPr>
            </w:pPr>
            <w:r>
              <w:rPr>
                <w:i/>
              </w:rPr>
              <w:t xml:space="preserve">Hà Nội, ngày 27 tháng 12 năm 2012</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Sửa đổi, bổ sung một số điều của Quy chế đào tạo đại học và cao đẳng hệ chính quy theo hệ thống tín chỉ ban hành kèm theo Quyết định số 43/2007/QĐ-BGDĐT ngày 15 tháng 8 năm 2007</w:t>
      </w:r>
    </w:p>
    <w:p>
      <w:pPr>
        <w:pStyle w:val="Normal(Web)"/>
        <w:divId w:val="10"/>
        <w:jc w:val="center"/>
        <w:rPr>
          <w:vanish w:val="0"/>
        </w:rPr>
      </w:pPr>
      <w:r>
        <w:rPr>
          <w:b/>
        </w:rPr>
        <w:t xml:space="preserve">của Bộ trưởng Bộ Giáo dục và Đào tạo</w:t>
      </w:r>
    </w:p>
    <w:p>
      <w:pPr>
        <w:pStyle w:val="Normal(Web)"/>
        <w:divId w:val="11"/>
        <w:jc w:val="center"/>
        <w:rPr>
          <w:vanish w:val="0"/>
        </w:rPr>
      </w:pPr>
      <w:r>
        <w:rPr>
          <w:b/>
        </w:rPr>
        <w:t xml:space="preserve">--------------------</w:t>
      </w:r>
    </w:p>
    <w:p>
      <w:pPr>
        <w:pStyle w:val="Normal(Web)"/>
        <w:divId w:val="12"/>
        <w:rPr>
          <w:vanish w:val="0"/>
        </w:rPr>
      </w:pPr>
      <w:r>
        <w:rPr>
          <w:i/>
        </w:rPr>
        <w:t xml:space="preserve">Căn cứ Luật Giáo dục ngày 14 tháng 6 năm 2005; Luật sửa đổi, bổ sung một số điều của Luật Giáo dục ngày 25 tháng 11 năm 2009;</w:t>
      </w:r>
    </w:p>
    <w:p>
      <w:pPr>
        <w:pStyle w:val="Normal(Web)"/>
        <w:divId w:val="13"/>
        <w:rPr>
          <w:vanish w:val="0"/>
        </w:rPr>
      </w:pPr>
      <w:r>
        <w:rPr>
          <w:i/>
        </w:rPr>
        <w:t xml:space="preserve">Căn cứ Luật Giáo dục đại học ngày 18 tháng 6 năm 2012; </w:t>
      </w:r>
    </w:p>
    <w:p>
      <w:pPr>
        <w:pStyle w:val="Normal(Web)"/>
        <w:divId w:val="14"/>
        <w:rPr>
          <w:vanish w:val="0"/>
        </w:rPr>
      </w:pPr>
      <w:r>
        <w:rPr>
          <w:i/>
        </w:rPr>
        <w:t xml:space="preserve">Căn cứ Nghị định số </w:t>
      </w:r>
      <w:hyperlink r:id="rId4" w:history="1">
        <w:r>
          <w:rPr>
            <w:rStyle w:val="Hyperlink"/>
            <w:i/>
          </w:rPr>
          <w:t xml:space="preserve">75/2006/NĐ-CP </w:t>
        </w:r>
      </w:hyperlink>
      <w:r>
        <w:rPr>
          <w:i/>
        </w:rPr>
        <w:t xml:space="preserve"> ngày 02 tháng 8 năm 2006 của Chính phủ quy định chi tiết và hướng dẫn thi hành một số điều của Luật Giáo dục;</w:t>
      </w:r>
    </w:p>
    <w:p>
      <w:pPr>
        <w:pStyle w:val="Normal(Web)"/>
        <w:divId w:val="15"/>
        <w:rPr>
          <w:vanish w:val="0"/>
        </w:rPr>
      </w:pPr>
      <w:r>
        <w:rPr>
          <w:i/>
        </w:rPr>
        <w:t xml:space="preserve">Căn cứ Nghị định số </w:t>
      </w:r>
      <w:hyperlink r:id="rId5" w:history="1">
        <w:r>
          <w:rPr>
            <w:rStyle w:val="Hyperlink"/>
            <w:i/>
          </w:rPr>
          <w:t xml:space="preserve">31/2011/NĐ-CP </w:t>
        </w:r>
      </w:hyperlink>
      <w:r>
        <w:rPr>
          <w:i/>
        </w:rPr>
        <w:t xml:space="preserve">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pPr>
        <w:pStyle w:val="Normal(Web)"/>
        <w:divId w:val="16"/>
        <w:rPr>
          <w:vanish w:val="0"/>
        </w:rPr>
      </w:pPr>
      <w:r>
        <w:rPr>
          <w:i/>
        </w:rPr>
        <w:t xml:space="preserve">Căn cứ Nghị định số </w:t>
      </w:r>
      <w:hyperlink r:id="rId6"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17"/>
        <w:rPr>
          <w:vanish w:val="0"/>
        </w:rPr>
      </w:pPr>
      <w:r>
        <w:rPr>
          <w:i/>
        </w:rPr>
        <w:t xml:space="preserve">Căn cứ Nghị định số </w:t>
      </w:r>
      <w:hyperlink r:id="rId7"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18"/>
        <w:rPr>
          <w:vanish w:val="0"/>
        </w:rPr>
      </w:pPr>
      <w:r>
        <w:rPr>
          <w:i/>
        </w:rPr>
        <w:t xml:space="preserve">Theo đề nghị của Vụ trưởng Vụ Giáo dục Đại học,</w:t>
      </w:r>
    </w:p>
    <w:p>
      <w:pPr>
        <w:pStyle w:val="Normal(Web)"/>
        <w:divId w:val="19"/>
        <w:rPr>
          <w:vanish w:val="0"/>
        </w:rPr>
      </w:pPr>
      <w:r>
        <w:rPr>
          <w:i/>
        </w:rPr>
        <w:t xml:space="preserve">Bộ trưởng Bộ Giáo dục và Đào tạo ban hành Thông tư Sửa đổi, bổ sung một số điều của Quy chế đào tạo đại học và cao đẳng hệ chính quy theo hệ thống tín chỉ ban hành kèm theo Quyết định số 43/2007/QĐ-BGDĐT.</w:t>
      </w:r>
    </w:p>
    <w:p>
      <w:pPr>
        <w:pStyle w:val="Normal(Web)"/>
        <w:divId w:val="20"/>
        <w:rPr>
          <w:vanish w:val="0"/>
        </w:rPr>
      </w:pPr>
      <w:r>
        <w:rPr>
          <w:b/>
        </w:rPr>
        <w:t xml:space="preserve">Điều 1.</w:t>
      </w:r>
      <w:r>
        <w:t xml:space="preserve">Sửa đổi, bổ sung một số điều của Quy chế đào tạo đại học và cao đẳng hệ chính quy theo hệ thống tín chỉ ban hành kèm theo Quyết định số 43/2007/QĐ-BGDĐT ngày 15 tháng 8 năm 2007 của Bộ trưởng Bộ Giáo dục và Đào tạo như sau:</w:t>
      </w:r>
    </w:p>
    <w:p>
      <w:pPr>
        <w:pStyle w:val="Normal(Web)"/>
        <w:divId w:val="21"/>
        <w:rPr>
          <w:vanish w:val="0"/>
        </w:rPr>
      </w:pPr>
      <w:r>
        <w:t xml:space="preserve">1. Điều 2 được sửa đổi, bổ sung như sau: </w:t>
      </w:r>
    </w:p>
    <w:p>
      <w:pPr>
        <w:pStyle w:val="Normal(Web)"/>
        <w:divId w:val="22"/>
        <w:rPr>
          <w:vanish w:val="0"/>
        </w:rPr>
      </w:pPr>
      <w:r>
        <w:rPr>
          <w:b/>
        </w:rPr>
        <w:t xml:space="preserve">“Điều 2. Chương trình đào tạo, đề cương chi tiết học phần </w:t>
      </w:r>
    </w:p>
    <w:p>
      <w:pPr>
        <w:pStyle w:val="Normal(Web)"/>
        <w:divId w:val="23"/>
        <w:rPr>
          <w:vanish w:val="0"/>
        </w:rPr>
      </w:pPr>
      <w:r>
        <w:t xml:space="preserve">1. Chương trình đào tạo (sau đây gọi tắt là chương trình) cần thể hiện rõ: trình độ đào tạo; đối tượng đào tạo, điều kiện nhập học và điều kiện tốt nghiệp; mục tiêu đào tạo, chuẩn kiến thức, kỹ năng của người học khi tốt nghiệp; khối lượng kiến thức lý thuyết, thực hành, thực tập; kế hoạch đào tạo theo thời gian thiết kế; phương pháp và hình thức đào tạo; cách thức đánh giá kết quả học tập; các điều kiện thực hiện chương trình. </w:t>
      </w:r>
    </w:p>
    <w:p>
      <w:pPr>
        <w:pStyle w:val="Normal(Web)"/>
        <w:divId w:val="24"/>
        <w:rPr>
          <w:vanish w:val="0"/>
        </w:rPr>
      </w:pPr>
      <w:r>
        <w:t xml:space="preserve">2. Mỗi chương trình gắn với một ngành (kiểu đơn ngành) hoặc với một vài ngành (kiểu song ngành, kiểu ngành chính - ngành phụ, kiểu 2 văn bằng) và được cấu trúc từ các học phần thuộc hai khối kiến thức: giáo dục đại cương và giáo dục chuyên nghiệp.</w:t>
      </w:r>
    </w:p>
    <w:p>
      <w:pPr>
        <w:pStyle w:val="Normal(Web)"/>
        <w:divId w:val="25"/>
        <w:rPr>
          <w:vanish w:val="0"/>
        </w:rPr>
      </w:pPr>
      <w:r>
        <w:t xml:space="preserve">3. Đề cương chi tiết của từng học phần phải thể hiện rõ số lượng tín chỉ, điều kiện tiên quyết (nếu có), nội dung lý thuyết và thực hành, cách thức đánh giá học phần, giáo trình, tài liệu tham khảo và điều kiện thí nghiệm, thực hành, thực tập phục vụ học phần.</w:t>
      </w:r>
    </w:p>
    <w:p>
      <w:pPr>
        <w:pStyle w:val="Normal(Web)"/>
        <w:divId w:val="26"/>
        <w:rPr>
          <w:vanish w:val="0"/>
        </w:rPr>
      </w:pPr>
      <w:r>
        <w:t xml:space="preserve">4. Hiệu trưởng ban hành chương trình thực hiện trong trường mình, với khối lượng của mỗi chương trình không dưới 180 tín chỉ đối với khoá đại học 6 năm; 150 tín chỉ đối với khoá đại học 5 năm; 120 tín chỉ đối với khoá đại học 4 năm; 90 tín chỉ đối với khoá cao đẳng 3 năm; 60 tín chỉ đối với khoá cao đẳng 2 năm.”</w:t>
      </w:r>
    </w:p>
    <w:p>
      <w:pPr>
        <w:pStyle w:val="Normal(Web)"/>
        <w:divId w:val="27"/>
        <w:rPr>
          <w:vanish w:val="0"/>
        </w:rPr>
      </w:pPr>
      <w:r>
        <w:t xml:space="preserve">2. Khoản 4 Điều 3 được sửa đổi, bổ sung như sau: </w:t>
      </w:r>
    </w:p>
    <w:p>
      <w:pPr>
        <w:pStyle w:val="Normal(Web)"/>
        <w:divId w:val="28"/>
        <w:rPr>
          <w:vanish w:val="0"/>
        </w:rPr>
      </w:pPr>
      <w:r>
        <w:t xml:space="preserve">“4. Hiệu trưởng quy định việc tính số giờ giảng dạy của giảng viên cho các học phần trên cơ sở số giờ giảng dạy trên lớp, số giờ thực hành, thực tập, số giờ chuẩn bị khối lượng tự học cho sinh viên, đánh giá kết quả tự học của sinh viên và số giờ tiếp xúc sinh viên ngoài giờ lên lớp.”</w:t>
      </w:r>
    </w:p>
    <w:p>
      <w:pPr>
        <w:pStyle w:val="Normal(Web)"/>
        <w:divId w:val="29"/>
        <w:rPr>
          <w:vanish w:val="0"/>
        </w:rPr>
      </w:pPr>
      <w:r>
        <w:t xml:space="preserve">3. Khoản 1 Điều 7 được sửa đổi, bổ sung như sau:</w:t>
      </w:r>
    </w:p>
    <w:p>
      <w:pPr>
        <w:pStyle w:val="Normal(Web)"/>
        <w:divId w:val="30"/>
        <w:rPr>
          <w:vanish w:val="0"/>
        </w:rPr>
      </w:pPr>
      <w:r>
        <w:t xml:space="preserve">“1. Khi đăng ký nhập học sinh viên phải nộp các giấy tờ theo quy định tại Quy chế tuyển sinh đại học, cao đẳng hệ chính quy hiện hành. Tất cả giấy tờ khi sinh viên nhập học phải được xếp vào túi hồ sơ của từng cá nhân và được quản lý tại đơn vị do Hiệu trưởng quy định.”</w:t>
      </w:r>
    </w:p>
    <w:p>
      <w:pPr>
        <w:pStyle w:val="Normal(Web)"/>
        <w:divId w:val="31"/>
        <w:rPr>
          <w:vanish w:val="0"/>
        </w:rPr>
      </w:pPr>
      <w:r>
        <w:t xml:space="preserve">4. Khoản 1 Điều 11 và điểm c khoản 2 Điều 11 được sửa đổi, bổ sung:</w:t>
      </w:r>
    </w:p>
    <w:p>
      <w:pPr>
        <w:pStyle w:val="Normal(Web)"/>
        <w:divId w:val="32"/>
        <w:rPr>
          <w:vanish w:val="0"/>
        </w:rPr>
      </w:pPr>
      <w:r>
        <w:t xml:space="preserve">a) Khoản 1 Điều 11 được sửa đổi, bổ sung như sau:</w:t>
      </w:r>
    </w:p>
    <w:p>
      <w:pPr>
        <w:pStyle w:val="Normal(Web)"/>
        <w:divId w:val="33"/>
        <w:rPr>
          <w:vanish w:val="0"/>
        </w:rPr>
      </w:pPr>
      <w:r>
        <w:t xml:space="preserve">“1. Việc rút bớt học phần trong khối lượng học tập đã đăng ký được thực hiện sau 2 tuần kể từ đầu học kỳ chính, sau 1 tuần kể từ đầu học kỳ phụ. Tuỳ theo điều kiện cụ thể của trường, </w:t>
      </w:r>
      <w:r>
        <w:t xml:space="preserve">Hiệu trưởng quy định thời hạn tối đa được rút bớt </w:t>
      </w:r>
      <w:r>
        <w:t xml:space="preserve">học phần trong khối lượng học tập đã đăng ký. Ngoài thời hạn quy định, học phần vẫn được giữ nguyên trong phiếu đăng ký học và nếu sinh viên không đi học học phần này sẽ được xem như tự ý bỏ học và phải nhận điểm F.”</w:t>
      </w:r>
    </w:p>
    <w:p>
      <w:pPr>
        <w:pStyle w:val="Normal(Web)"/>
        <w:divId w:val="34"/>
        <w:rPr>
          <w:vanish w:val="0"/>
        </w:rPr>
      </w:pPr>
      <w:r>
        <w:t xml:space="preserve">b) Điểm c khoản 2 Điều 11 được sửa đổi, bổ sung như sau:</w:t>
      </w:r>
    </w:p>
    <w:p>
      <w:pPr>
        <w:pStyle w:val="Normal(Web)"/>
        <w:divId w:val="35"/>
        <w:rPr>
          <w:vanish w:val="0"/>
        </w:rPr>
      </w:pPr>
      <w:r>
        <w:t xml:space="preserve">“c) Không vi phạm khoản 3 Điều 10 của Quy chế này.</w:t>
      </w:r>
      <w:r>
        <w:t xml:space="preserve">”</w:t>
      </w:r>
    </w:p>
    <w:p>
      <w:pPr>
        <w:pStyle w:val="Normal(Web)"/>
        <w:divId w:val="36"/>
        <w:rPr>
          <w:vanish w:val="0"/>
        </w:rPr>
      </w:pPr>
      <w:r>
        <w:t xml:space="preserve">5. Khoản 1 Điều 14 được sửa đổi, bổ sung như sau:</w:t>
      </w:r>
    </w:p>
    <w:p>
      <w:pPr>
        <w:pStyle w:val="Normal(Web)"/>
        <w:divId w:val="37"/>
        <w:rPr>
          <w:vanish w:val="0"/>
        </w:rPr>
      </w:pPr>
      <w:r>
        <w:t xml:space="preserve">“1. Sau mỗi học kỳ, căn cứ vào khối lượng kiến thức tích lũy, sinh viên được xếp hạng năm đào tạo: sinh viên năm thứ nhất, sinh viên năm thứ hai, sinh viên năm thứ ba, sinh viên năm thứ tư, sinh viên năm thứ năm, sinh viên năm thứ sáu. Tuỳ thuộc khối lượng của từng chương trình quy định tại khoản 4 Điều 2 của Quy chế này, Hiệu trưởng quy định cụ thể giới hạn khối lượng kiến thức để chuyển xếp hạng năm đào tạo.”</w:t>
      </w:r>
    </w:p>
    <w:p>
      <w:pPr>
        <w:pStyle w:val="Normal(Web)"/>
        <w:divId w:val="38"/>
        <w:rPr>
          <w:vanish w:val="0"/>
        </w:rPr>
      </w:pPr>
      <w:r>
        <w:t xml:space="preserve">6. Điều 16 được sửa đổi, bổ sung như sau:</w:t>
      </w:r>
    </w:p>
    <w:p>
      <w:pPr>
        <w:pStyle w:val="Normal(Web)"/>
        <w:divId w:val="39"/>
        <w:rPr>
          <w:vanish w:val="0"/>
        </w:rPr>
      </w:pPr>
      <w:r>
        <w:t xml:space="preserve">“</w:t>
      </w:r>
      <w:r>
        <w:rPr>
          <w:b/>
        </w:rPr>
        <w:t xml:space="preserve">Điều 16. Cảnh báo kết quả học tập, buộc thôi học</w:t>
      </w:r>
    </w:p>
    <w:p>
      <w:pPr>
        <w:pStyle w:val="Normal(Web)"/>
        <w:divId w:val="40"/>
        <w:rPr>
          <w:vanish w:val="0"/>
        </w:rPr>
      </w:pPr>
      <w:r>
        <w:t xml:space="preserve">1. Cảnh báo kết quả học tập được thực hiện theo từng học kỳ, nhằm giúp cho sinh viên có kết quả học tập kém biết và lập phương án học tập thích hợp để có thể tốt nghiệp trong thời hạn tối đa được phép theo học chương trình. Việc cảnh báo kết quả học tập của sinh viên được dựa trên các điều kiện sau:</w:t>
      </w:r>
    </w:p>
    <w:p>
      <w:pPr>
        <w:pStyle w:val="Normal(Web)"/>
        <w:divId w:val="41"/>
        <w:rPr>
          <w:vanish w:val="0"/>
        </w:rPr>
      </w:pPr>
      <w:r>
        <w:t xml:space="preserve">a) Điểm trung bình chung tích luỹ đạt dưới 1,20 đối với sinh viên năm thứ nhất, dưới 1,40 đối với sinh viên năm thứ hai, dưới 1,60 đối với sinh viên năm thứ ba hoặc dưới 1,80 đối với sinh viên các năm tiếp theo và cuối khoá;</w:t>
      </w:r>
    </w:p>
    <w:p>
      <w:pPr>
        <w:pStyle w:val="Normal(Web)"/>
        <w:divId w:val="42"/>
        <w:rPr>
          <w:vanish w:val="0"/>
        </w:rPr>
      </w:pPr>
      <w:r>
        <w:t xml:space="preserve">b) Điểm trung bình chung học kỳ đạt dưới 0,80 đối với học kỳ đầu của khóa học, dưới 1,00 đối với các học kỳ tiếp theo;</w:t>
      </w:r>
    </w:p>
    <w:p>
      <w:pPr>
        <w:pStyle w:val="Normal(Web)"/>
        <w:divId w:val="43"/>
        <w:rPr>
          <w:vanish w:val="0"/>
        </w:rPr>
      </w:pPr>
      <w:r>
        <w:t xml:space="preserve">c) Tổng số tín chỉ của các học phần bị điểm F còn tồn đọng tính từ đầu khoá học đến thời điểm xét vượt quá 24 tín chỉ.</w:t>
      </w:r>
    </w:p>
    <w:p>
      <w:pPr>
        <w:pStyle w:val="Normal(Web)"/>
        <w:divId w:val="44"/>
        <w:rPr>
          <w:vanish w:val="0"/>
        </w:rPr>
      </w:pPr>
      <w:r>
        <w:t xml:space="preserve">Tuỳ theo đặc điểm của từng trường, Hiệu trưởng quy định áp dụng một hoặc hai trong ba điều kiện nêu trên để cảnh báo kết quả học tập của sinh viên và quy định số lần cảnh báo kết quả học tập, nhưng không vượt quá 2 lần liên tiếp. </w:t>
      </w:r>
    </w:p>
    <w:p>
      <w:pPr>
        <w:pStyle w:val="Normal(Web)"/>
        <w:divId w:val="45"/>
        <w:rPr>
          <w:vanish w:val="0"/>
        </w:rPr>
      </w:pPr>
      <w:r>
        <w:t xml:space="preserve">2. Sau mỗi học kỳ, sinh viên bị buộc thôi học nếu thuộc một trong những trường hợp sau đây:</w:t>
      </w:r>
    </w:p>
    <w:p>
      <w:pPr>
        <w:pStyle w:val="Normal(Web)"/>
        <w:divId w:val="46"/>
        <w:rPr>
          <w:vanish w:val="0"/>
        </w:rPr>
      </w:pPr>
      <w:r>
        <w:t xml:space="preserve">a) Có số lần cảnh báo kết quả học tập vượt quá giới hạn theo quy định của Hiệu trưởng;</w:t>
      </w:r>
    </w:p>
    <w:p>
      <w:pPr>
        <w:pStyle w:val="Normal(Web)"/>
        <w:divId w:val="47"/>
        <w:rPr>
          <w:vanish w:val="0"/>
        </w:rPr>
      </w:pPr>
      <w:r>
        <w:t xml:space="preserve">b) Vượt quá thời gian tối đa được phép học tại trường quy định tại khoản 3 Điều 6 của Quy chế này; </w:t>
      </w:r>
    </w:p>
    <w:p>
      <w:pPr>
        <w:pStyle w:val="Normal(Web)"/>
        <w:divId w:val="48"/>
        <w:rPr>
          <w:vanish w:val="0"/>
        </w:rPr>
      </w:pPr>
      <w:r>
        <w:t xml:space="preserve">c) Bị kỷ luật lần thứ hai vì lý do đi thi hộ hoặc nhờ người thi hộ theo quy định tại khoản 2 Điều 29 của Quy chế này hoặc bị kỷ luật ở mức xoá tên khỏi danh sách sinh viên của trường.</w:t>
      </w:r>
    </w:p>
    <w:p>
      <w:pPr>
        <w:pStyle w:val="Normal(Web)"/>
        <w:divId w:val="49"/>
        <w:rPr>
          <w:vanish w:val="0"/>
        </w:rPr>
      </w:pPr>
      <w:r>
        <w:t xml:space="preserve">3. Chậm nhất là một tháng sau khi sinh viên có quyết định buộc thôi học, trường phải thông báo trả về địa phương nơi sinh viên có hộ khẩu thường trú. Trường hợp tại trường sinh viên vừa theo học hoặc tại trường khác có các chương trình đào tạo ở trình độ thấp hơn hoặc chương trình giáo dục thường xuyên tương ứng, thì những sinh viên thuộc diện bị buộc thôi học quy định tại các điểm a, b khoản 2 của Điều này được quyền xin xét chuyển qua các chương trình đó và được bảo lưu một phần kết quả học tập ở chương trình cũ. Hiệu trưởng xem xét quyết định cho bảo lưu kết quả học tập đối với từng trường hợp cụ thể.”</w:t>
      </w:r>
    </w:p>
    <w:p>
      <w:pPr>
        <w:pStyle w:val="Normal(Web)"/>
        <w:divId w:val="50"/>
        <w:rPr>
          <w:vanish w:val="0"/>
        </w:rPr>
      </w:pPr>
      <w:r>
        <w:t xml:space="preserve">7. Điều 17 được sửa đổi, bổ sung như sau:</w:t>
      </w:r>
    </w:p>
    <w:p>
      <w:pPr>
        <w:pStyle w:val="Normal(Web)"/>
        <w:divId w:val="51"/>
        <w:rPr>
          <w:vanish w:val="0"/>
        </w:rPr>
      </w:pPr>
      <w:r>
        <w:t xml:space="preserve">“</w:t>
      </w:r>
      <w:r>
        <w:rPr>
          <w:b/>
        </w:rPr>
        <w:t xml:space="preserve">Điều 17. Học cùng lúc hai chương trình</w:t>
      </w:r>
    </w:p>
    <w:p>
      <w:pPr>
        <w:pStyle w:val="Normal(Web)"/>
        <w:divId w:val="52"/>
        <w:rPr>
          <w:vanish w:val="0"/>
        </w:rPr>
      </w:pPr>
      <w:r>
        <w:t xml:space="preserve">1. Học cùng lúc hai chương trình dành cho sinh viên có đủ điều kiện theo quy định tại khoản 2 Điều này và có nhu cầu đăng ký học thêm một chương trình thứ hai để khi tốt nghiệp được cấp hai văn bằng.</w:t>
      </w:r>
    </w:p>
    <w:p>
      <w:pPr>
        <w:pStyle w:val="Normal(Web)"/>
        <w:divId w:val="53"/>
        <w:rPr>
          <w:vanish w:val="0"/>
        </w:rPr>
      </w:pPr>
      <w:r>
        <w:t xml:space="preserve">2. Điều kiện để học cùng lúc hai chương trình:</w:t>
      </w:r>
    </w:p>
    <w:p>
      <w:pPr>
        <w:pStyle w:val="Normal(Web)"/>
        <w:divId w:val="54"/>
        <w:rPr>
          <w:vanish w:val="0"/>
        </w:rPr>
      </w:pPr>
      <w:r>
        <w:t xml:space="preserve">a) Ngành đào tạo chính ở chương trình thứ hai phải khác ngành đào tạo chính ở chương trình thứ nhất;</w:t>
      </w:r>
    </w:p>
    <w:p>
      <w:pPr>
        <w:pStyle w:val="Normal(Web)"/>
        <w:divId w:val="55"/>
        <w:rPr>
          <w:vanish w:val="0"/>
        </w:rPr>
      </w:pPr>
      <w:r>
        <w:t xml:space="preserve">b) Sau khi đã kết thúc học kỳ thứ nhất năm học đầu tiên của chương trình thứ nhất và sinh viên không thuộc diện xếp hạng học lực yếu;</w:t>
      </w:r>
    </w:p>
    <w:p>
      <w:pPr>
        <w:pStyle w:val="Normal(Web)"/>
        <w:divId w:val="56"/>
        <w:rPr>
          <w:vanish w:val="0"/>
        </w:rPr>
      </w:pPr>
      <w:r>
        <w:t xml:space="preserve">c) Trong quá trình sinh viên học cùng lúc hai chương trình, nếu điểm trung bình chung học kỳ đạt dưới 2,00 thì phải dừng học thêm chương trình thứ hai ở học kỳ tiếp theo.</w:t>
      </w:r>
    </w:p>
    <w:p>
      <w:pPr>
        <w:pStyle w:val="Normal(Web)"/>
        <w:divId w:val="57"/>
        <w:rPr>
          <w:vanish w:val="0"/>
        </w:rPr>
      </w:pPr>
      <w:r>
        <w:t xml:space="preserve">3. Thời gian tối đa được phép học đối với sinh viên học cùng lúc hai chương trình là thời gian tối đa quy định cho chương trình thứ nhất, quy định tại khoản 3 Điều 6 của Quy chế này. Khi học chương trình thứ hai, sinh viên được bảo lưu điểm của những học phần có nội dung và khối lượng kiến thức tương đương có trong chương trình thứ nhất.</w:t>
      </w:r>
    </w:p>
    <w:p>
      <w:pPr>
        <w:pStyle w:val="Normal(Web)"/>
        <w:divId w:val="58"/>
        <w:rPr>
          <w:vanish w:val="0"/>
        </w:rPr>
      </w:pPr>
      <w:r>
        <w:t xml:space="preserve">4. Sinh viên chỉ được xét tốt nghiệp chương trình thứ hai, nếu có đủ điều kiện tốt nghiệp ở chương trình thứ nhất.”</w:t>
      </w:r>
    </w:p>
    <w:p>
      <w:pPr>
        <w:pStyle w:val="Normal(Web)"/>
        <w:divId w:val="59"/>
        <w:rPr>
          <w:vanish w:val="0"/>
        </w:rPr>
      </w:pPr>
      <w:r>
        <w:t xml:space="preserve">8. Điều 25 được sửa đổi, bổ sung như sau: </w:t>
      </w:r>
    </w:p>
    <w:p>
      <w:pPr>
        <w:pStyle w:val="Normal(Web)"/>
        <w:divId w:val="60"/>
        <w:rPr>
          <w:vanish w:val="0"/>
        </w:rPr>
      </w:pPr>
      <w:r>
        <w:t xml:space="preserve">“</w:t>
      </w:r>
      <w:r>
        <w:rPr>
          <w:b/>
        </w:rPr>
        <w:t xml:space="preserve">Điều 25. Đánh giá đồ án, khoá luận tốt nghiệp </w:t>
      </w:r>
    </w:p>
    <w:p>
      <w:pPr>
        <w:pStyle w:val="Normal(Web)"/>
        <w:divId w:val="61"/>
        <w:rPr>
          <w:vanish w:val="0"/>
        </w:rPr>
      </w:pPr>
      <w:r>
        <w:t xml:space="preserve">1. Tùy theo từng chương trình, Hiệu trưởng quy định cách thức đánh giá đồ án, khoá luận tốt nghiệp. Việc đánh giá mỗi đồ án, khóa luận tốt nghiệp phải do ít nhất 2 giảng viên đảm nhiệm.</w:t>
      </w:r>
    </w:p>
    <w:p>
      <w:pPr>
        <w:pStyle w:val="Normal(Web)"/>
        <w:divId w:val="62"/>
        <w:rPr>
          <w:vanish w:val="0"/>
        </w:rPr>
      </w:pPr>
      <w:r>
        <w:t xml:space="preserve">2. Điểm của đồ án, khoá luận tốt nghiệp được chấm theo thang điểm chữ theo quy định tại điểm a và điểm b, khoản 2, Điều 22 của Quy chế này. Điểm đồ án, khoá luận tốt nghiệp được tính vào điểm trung bình chung tích lũy của toàn khoá học.</w:t>
      </w:r>
    </w:p>
    <w:p>
      <w:pPr>
        <w:pStyle w:val="Normal(Web)"/>
        <w:divId w:val="63"/>
        <w:rPr>
          <w:vanish w:val="0"/>
        </w:rPr>
      </w:pPr>
      <w:r>
        <w:t xml:space="preserve">3. Sinh viên có đồ án, khoá luận tốt nghiệp bị điểm F, phải đăng ký làm lại đồ án, khóa luận tốt nghiệp; hoặc phải đăng ký học thêm một số học phần chuyên môn để thay thế, sao cho tổng số tín chỉ của các học phần chuyên môn học thêm tương đương với số tín chỉ của đồ án, khóa luận tốt nghiệp.</w:t>
      </w:r>
      <w:r>
        <w:t xml:space="preserve">”</w:t>
      </w:r>
    </w:p>
    <w:p>
      <w:pPr>
        <w:pStyle w:val="Normal(Web)"/>
        <w:divId w:val="64"/>
        <w:rPr>
          <w:vanish w:val="0"/>
        </w:rPr>
      </w:pPr>
      <w:r>
        <w:t xml:space="preserve">9. Khoản 1 Điều 27 được sửa đổi, bổ sung như sau:</w:t>
      </w:r>
    </w:p>
    <w:p>
      <w:pPr>
        <w:pStyle w:val="Normal(Web)"/>
        <w:divId w:val="65"/>
        <w:rPr>
          <w:vanish w:val="0"/>
        </w:rPr>
      </w:pPr>
      <w:r>
        <w:t xml:space="preserve">“1. Sinh viên được trường xét và công nhận tốt nghiệp khi có đủ các điều kiện sau: </w:t>
      </w:r>
    </w:p>
    <w:p>
      <w:pPr>
        <w:pStyle w:val="Normal(Web)"/>
        <w:divId w:val="66"/>
        <w:rPr>
          <w:vanish w:val="0"/>
        </w:rPr>
      </w:pPr>
      <w:r>
        <w:t xml:space="preserve">a) Cho đến thời điểm xét tốt nghiệp không bị truy cứu trách nhiệm hình sự hoặc không đang trong thời gian bị kỷ luật ở mức đình chỉ học tập;</w:t>
      </w:r>
    </w:p>
    <w:p>
      <w:pPr>
        <w:pStyle w:val="Normal(Web)"/>
        <w:divId w:val="67"/>
        <w:rPr>
          <w:vanish w:val="0"/>
        </w:rPr>
      </w:pPr>
      <w:r>
        <w:t xml:space="preserve">b) Tích lũy đủ số học phần và khối lượng của chương trình đào tạo được quy định tại Điều 2 của Quy chế này;</w:t>
      </w:r>
    </w:p>
    <w:p>
      <w:pPr>
        <w:pStyle w:val="Normal(Web)"/>
        <w:divId w:val="68"/>
        <w:rPr>
          <w:vanish w:val="0"/>
        </w:rPr>
      </w:pPr>
      <w:r>
        <w:t xml:space="preserve">c) Điểm trung bình chung tích lũy của toàn khóa học đạt từ 2,00 trở lên;</w:t>
      </w:r>
    </w:p>
    <w:p>
      <w:pPr>
        <w:pStyle w:val="Normal(Web)"/>
        <w:divId w:val="69"/>
        <w:rPr>
          <w:vanish w:val="0"/>
        </w:rPr>
      </w:pPr>
      <w:r>
        <w:t xml:space="preserve">d) Thỏa mãn một số yêu cầu về kết quả học tập đối với nhóm học phần thuộc ngành đào tạo chính và các điều kiện khác do Hiệu trưởng quy định;</w:t>
      </w:r>
    </w:p>
    <w:p>
      <w:pPr>
        <w:pStyle w:val="Normal(Web)"/>
        <w:divId w:val="70"/>
        <w:rPr>
          <w:vanish w:val="0"/>
        </w:rPr>
      </w:pPr>
      <w:r>
        <w:t xml:space="preserve">đ) Có chứng chỉ giáo dục quốc phòng – an ninh đối với các ngành đào tạo không chuyên về quân sự và hoàn thành học phần giáo dục thể chất đối với các ngành không chuyên về thể dục - thể thao;</w:t>
      </w:r>
    </w:p>
    <w:p>
      <w:pPr>
        <w:pStyle w:val="Normal(Web)"/>
        <w:divId w:val="71"/>
        <w:rPr>
          <w:vanish w:val="0"/>
        </w:rPr>
      </w:pPr>
      <w:r>
        <w:t xml:space="preserve">e) Có đơn gửi Phòng đào tạo đề nghị được xét tốt nghiệp trong trường hợp đủ điều kiện tốt nghiệp sớm hoặc muộn so với thời gian thiết kế của khoá học.”</w:t>
      </w:r>
    </w:p>
    <w:p>
      <w:pPr>
        <w:pStyle w:val="Normal(Web)"/>
        <w:divId w:val="72"/>
        <w:rPr>
          <w:vanish w:val="0"/>
        </w:rPr>
      </w:pPr>
      <w:r>
        <w:t xml:space="preserve">10. Chương V được bổ sung, sửa đổi như sau:</w:t>
      </w:r>
    </w:p>
    <w:p>
      <w:pPr>
        <w:pStyle w:val="Normal(Web)"/>
        <w:divId w:val="73"/>
        <w:rPr>
          <w:vanish w:val="0"/>
        </w:rPr>
      </w:pPr>
      <w:r>
        <w:t xml:space="preserve">a) Tên chương được sửa đổi như sau:</w:t>
      </w:r>
    </w:p>
    <w:p>
      <w:pPr>
        <w:pStyle w:val="Normal(Web)"/>
        <w:divId w:val="74"/>
        <w:rPr>
          <w:vanish w:val="0"/>
        </w:rPr>
      </w:pPr>
      <w:r>
        <w:t xml:space="preserve">“</w:t>
      </w:r>
      <w:r>
        <w:rPr>
          <w:b/>
        </w:rPr>
        <w:t xml:space="preserve">Chương V. TỔ CHỨC THỰC HIỆN</w:t>
      </w:r>
      <w:r>
        <w:t xml:space="preserve">”;</w:t>
      </w:r>
    </w:p>
    <w:p>
      <w:pPr>
        <w:pStyle w:val="Normal(Web)"/>
        <w:divId w:val="75"/>
        <w:rPr>
          <w:vanish w:val="0"/>
        </w:rPr>
      </w:pPr>
      <w:r>
        <w:t xml:space="preserve">b) Bổ sung Điều 29a như sau:</w:t>
      </w:r>
    </w:p>
    <w:p>
      <w:pPr>
        <w:pStyle w:val="Normal(Web)"/>
        <w:divId w:val="76"/>
        <w:rPr>
          <w:vanish w:val="0"/>
        </w:rPr>
      </w:pPr>
      <w:r>
        <w:t xml:space="preserve">“</w:t>
      </w:r>
      <w:r>
        <w:rPr>
          <w:b/>
        </w:rPr>
        <w:t xml:space="preserve">Điều 29a. Tổ chức thực hiện</w:t>
      </w:r>
    </w:p>
    <w:p>
      <w:pPr>
        <w:pStyle w:val="Normal(Web)"/>
        <w:divId w:val="77"/>
        <w:rPr>
          <w:vanish w:val="0"/>
        </w:rPr>
      </w:pPr>
      <w:r>
        <w:t xml:space="preserve">1. Các trường lập kế hoạch và xây dựng lộ trình triển khai đào tạo theo hệ thống tín chỉ phù hợp với điều kiện cụ thể của trường mình.</w:t>
      </w:r>
    </w:p>
    <w:p>
      <w:pPr>
        <w:pStyle w:val="Normal(Web)"/>
        <w:divId w:val="78"/>
        <w:rPr>
          <w:vanish w:val="0"/>
        </w:rPr>
      </w:pPr>
      <w:r>
        <w:t xml:space="preserve">2. Trên cơ sở những quy định của quy chế này, tuỳ thuộc vào điều kiện cụ thể và lộ trình tiến đến đào tạo theo hệ thống tín chỉ hoàn chỉnh, các trường xây dựng quy định cụ thể của trường mình về đào tạo theo hệ thống tín chỉ cho hệ chính quy, vừa làm vừa học, đào tạo từ xa và đào tạo liên thông.</w:t>
      </w:r>
    </w:p>
    <w:p>
      <w:pPr>
        <w:pStyle w:val="Normal(Web)"/>
        <w:divId w:val="79"/>
        <w:rPr>
          <w:vanish w:val="0"/>
        </w:rPr>
      </w:pPr>
      <w:r>
        <w:t xml:space="preserve">3. Định kỳ các trường tổ chức rà soát, đánh giá quá trình thực hiện, bổ sung và chỉnh sửa chương trình đào tạo, các quy định về đào tạo theo hệ thống tín chỉ cho phù hợp với điều kiện thực tế và lộ trình triển khai đào tạo theo hệ thống tín chỉ của trường.</w:t>
      </w:r>
    </w:p>
    <w:p>
      <w:pPr>
        <w:pStyle w:val="Normal(Web)"/>
        <w:divId w:val="80"/>
        <w:rPr>
          <w:vanish w:val="0"/>
        </w:rPr>
      </w:pPr>
      <w:r>
        <w:t xml:space="preserve">4. Các trường được phép đánh giá và công nhận lẫn nhau về quy trình đào tạo, nội dung đào tạo và giá trị của tín chỉ, làm cơ sở cho việc công nhận kiến thức đã tích luỹ của sinh viên sử dụng trong trường hợp chuyển trường, học liên thông hoặc học tiếp lên trình độ cao hơn giữa các cơ sở đào tạo.</w:t>
      </w:r>
    </w:p>
    <w:p>
      <w:pPr>
        <w:pStyle w:val="Normal(Web)"/>
        <w:divId w:val="81"/>
        <w:rPr>
          <w:vanish w:val="0"/>
        </w:rPr>
      </w:pPr>
      <w:r>
        <w:t xml:space="preserve">5. Đ</w:t>
      </w:r>
      <w:r>
        <w:t xml:space="preserve">ể so sánh trong tuyển dụng, kết quả học tập toàn khoá của sinh viên đại học, cao đẳng giữa đào tạo theo tín chỉ và đào tạo theo niên chế được chuyển đổi tương đương theo hạng tốt nghiệp (</w:t>
      </w:r>
      <w:r>
        <w:t xml:space="preserve">theo hướng dẫn).”</w:t>
      </w:r>
    </w:p>
    <w:p>
      <w:pPr>
        <w:pStyle w:val="Normal(Web)"/>
        <w:divId w:val="82"/>
        <w:rPr>
          <w:vanish w:val="0"/>
        </w:rPr>
      </w:pPr>
      <w:r>
        <w:rPr>
          <w:b/>
        </w:rPr>
        <w:t xml:space="preserve">Điều 2. </w:t>
      </w:r>
      <w:r>
        <w:t xml:space="preserve">Thông tư này có hiệu lực thi hành kể từ ngày 10 tháng 2 năm 2013. </w:t>
      </w:r>
    </w:p>
    <w:p>
      <w:pPr>
        <w:pStyle w:val="Normal(Web)"/>
        <w:divId w:val="83"/>
        <w:rPr>
          <w:vanish w:val="0"/>
        </w:rPr>
      </w:pPr>
      <w:r>
        <w:rPr>
          <w:b/>
        </w:rPr>
        <w:t xml:space="preserve">Điều 3. </w:t>
      </w:r>
      <w:r>
        <w:t xml:space="preserve">Chánh Văn phòng, Vụ trưởng Vụ Giáo dục Đại học, Thủ trưởng các đơn vị có liên quan thuộc Bộ Giáo dục và Đào tạo, Giám đốc các đại học Quốc gia, đại học vùng, học viện, Hiệu trưởng các trường đại học, trường cao đẳng chịu trách nhiệm thi hành Thông tư này.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85"/>
              <w:rPr>
                <w:vanish w:val="0"/>
              </w:rPr>
            </w:pPr>
            <w:r>
              <w:rPr>
                <w:b/>
                <w:i/>
              </w:rPr>
              <w:t xml:space="preserve">Nơi nhận:</w:t>
            </w:r>
          </w:p>
          <w:p>
            <w:pPr>
              <w:pStyle w:val="Normal(Web)"/>
              <w:divId w:val="86"/>
              <w:rPr>
                <w:vanish w:val="0"/>
              </w:rPr>
            </w:pPr>
            <w:r>
              <w:t xml:space="preserve">- Văn phòng Chính phủ; </w:t>
            </w:r>
          </w:p>
          <w:p>
            <w:pPr>
              <w:pStyle w:val="Normal(Web)"/>
              <w:divId w:val="87"/>
              <w:rPr>
                <w:vanish w:val="0"/>
              </w:rPr>
            </w:pPr>
            <w:r>
              <w:t xml:space="preserve">- Ban Tuyên giáo TW; </w:t>
            </w:r>
          </w:p>
          <w:p>
            <w:pPr>
              <w:pStyle w:val="Normal(Web)"/>
              <w:divId w:val="88"/>
              <w:rPr>
                <w:vanish w:val="0"/>
              </w:rPr>
            </w:pPr>
            <w:r>
              <w:t xml:space="preserve">- Uỷ ban VHGD,TN,TN&amp;NĐ của QH;</w:t>
            </w:r>
          </w:p>
          <w:p>
            <w:pPr>
              <w:pStyle w:val="Normal(Web)"/>
              <w:divId w:val="89"/>
              <w:rPr>
                <w:vanish w:val="0"/>
              </w:rPr>
            </w:pPr>
            <w:r>
              <w:t xml:space="preserve">- Các Bộ, cơ quan ngang Bộ, cơ quan thuộc CP;</w:t>
            </w:r>
          </w:p>
          <w:p>
            <w:pPr>
              <w:pStyle w:val="Normal(Web)"/>
              <w:divId w:val="90"/>
              <w:rPr>
                <w:vanish w:val="0"/>
              </w:rPr>
            </w:pPr>
            <w:r>
              <w:t xml:space="preserve">- Cục Kiểm tra VB QPPL (Bộ Tư pháp);</w:t>
            </w:r>
          </w:p>
          <w:p>
            <w:pPr>
              <w:pStyle w:val="Normal(Web)"/>
              <w:divId w:val="91"/>
              <w:rPr>
                <w:vanish w:val="0"/>
              </w:rPr>
            </w:pPr>
            <w:r>
              <w:t xml:space="preserve">- Kiểm toán Nhà nước;</w:t>
            </w:r>
          </w:p>
          <w:p>
            <w:pPr>
              <w:pStyle w:val="Normal(Web)"/>
              <w:divId w:val="92"/>
              <w:rPr>
                <w:vanish w:val="0"/>
              </w:rPr>
            </w:pPr>
            <w:r>
              <w:t xml:space="preserve">- Công báo;</w:t>
            </w:r>
          </w:p>
          <w:p>
            <w:pPr>
              <w:pStyle w:val="Normal(Web)"/>
              <w:divId w:val="93"/>
              <w:rPr>
                <w:vanish w:val="0"/>
              </w:rPr>
            </w:pPr>
            <w:r>
              <w:t xml:space="preserve">- Website Chính phủ;</w:t>
            </w:r>
          </w:p>
          <w:p>
            <w:pPr>
              <w:pStyle w:val="Normal(Web)"/>
              <w:divId w:val="94"/>
              <w:rPr>
                <w:vanish w:val="0"/>
              </w:rPr>
            </w:pPr>
            <w:r>
              <w:t xml:space="preserve">- Như Điều 3 (để thực hiện); </w:t>
            </w:r>
          </w:p>
          <w:p>
            <w:pPr>
              <w:pStyle w:val="Normal(Web)"/>
              <w:divId w:val="95"/>
              <w:rPr>
                <w:vanish w:val="0"/>
              </w:rPr>
            </w:pPr>
            <w:r>
              <w:t xml:space="preserve">- Website Bộ GD&amp;ĐT;</w:t>
            </w:r>
          </w:p>
          <w:p>
            <w:pPr>
              <w:pStyle w:val="Normal(Web)"/>
              <w:divId w:val="96"/>
              <w:rPr>
                <w:vanish w:val="0"/>
              </w:rPr>
            </w:pPr>
            <w:r>
              <w:t xml:space="preserve">- Lưu: VT, Vụ GDĐH, Vụ PC.</w:t>
            </w:r>
          </w:p>
        </w:tc>
        <w:tc>
          <w:tcPr>
            <w:tcW w:w="0" w:type="auto"/>
            <w:shd w:val="clear" w:color="auto" w:fill="auto"/>
            <w:vAlign w:val="center"/>
          </w:tcPr>
          <w:p>
            <w:pPr>
              <w:pStyle w:val="Normal(Web)"/>
              <w:divId w:val="97"/>
              <w:jc w:val="center"/>
              <w:rPr>
                <w:vanish w:val="0"/>
              </w:rPr>
            </w:pPr>
            <w:r>
              <w:rPr>
                <w:b/>
              </w:rPr>
              <w:t xml:space="preserve">KT. BỘ TRƯỞNG</w:t>
            </w:r>
          </w:p>
          <w:p>
            <w:pPr>
              <w:pStyle w:val="Normal(Web)"/>
              <w:divId w:val="98"/>
              <w:jc w:val="center"/>
              <w:rPr>
                <w:vanish w:val="0"/>
              </w:rPr>
            </w:pPr>
            <w:r>
              <w:rPr>
                <w:b/>
              </w:rPr>
              <w:t xml:space="preserve">THỨ TRƯỞNG</w:t>
            </w:r>
          </w:p>
          <w:p>
            <w:pPr>
              <w:pStyle w:val="Normal(Web)"/>
              <w:divId w:val="99"/>
              <w:jc w:val="center"/>
              <w:rPr>
                <w:vanish w:val="0"/>
              </w:rPr>
            </w:pPr>
            <w:r>
              <w:rPr>
                <w:i/>
              </w:rPr>
              <w:t xml:space="preserve">Đã ký</w:t>
            </w:r>
          </w:p>
          <w:p>
            <w:pPr>
              <w:pStyle w:val="Normal(Web)"/>
              <w:divId w:val="100"/>
              <w:jc w:val="center"/>
              <w:rPr>
                <w:vanish w:val="0"/>
              </w:rPr>
            </w:pPr>
            <w:r>
              <w:rPr>
                <w:b/>
              </w:rPr>
              <w:t xml:space="preserve">Bùi Văn Ga</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sChild>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7-2012-tt-bgddt-cua-bo-giao-duc-va-dao-tao---sua-doi--bo-sung-mot-so-dieu-cua-quy-che-dao-tao-dai-hoc-va-cao-dang-he-chinh-quy-theo-he-thong-tin-chi-ban-hanh-kem-theo-quyet-dinh-so-43-200.aspx" TargetMode="External" /><Relationship Id="rId4" Type="http://schemas.openxmlformats.org/officeDocument/2006/relationships/hyperlink" Target="/nghi-dinh-so-75-2006-nd-cp-ve-viec-quy-dinh-chi-tiet-va-huong-dan-thi-hanh-mot-so-dieu-cua-luat-giao-duc.aspx" TargetMode="External" /><Relationship Id="rId5" Type="http://schemas.openxmlformats.org/officeDocument/2006/relationships/hyperlink" Target="/nghi-dinh-31-2011-nd-cp-sua-doi-nghi-dinh-so-75-2006-nd-cp.aspx" TargetMode="External" /><Relationship Id="rId6" Type="http://schemas.openxmlformats.org/officeDocument/2006/relationships/hyperlink" Target="/nghi-dinh-36-2012-nd-cp-chuc-nang--nhiem-vu--quyen-han-bo--co-quan-ngang-bo.aspx" TargetMode="External" /><Relationship Id="rId7" Type="http://schemas.openxmlformats.org/officeDocument/2006/relationships/hyperlink" Target="/nghi-dinh-so-32-2008-nd-cp-cua-chinh-phu---quy-dinh-chuc-nang--nhiem-vu--quyen-han-va-co-cau-to-chuc-cua-bo-giao-duc-va-dao-tao.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2022-06-21T16:44:59Z</dcterms:created>
  <dcterms:modified xsi:type="dcterms:W3CDTF">2022-06-21T16:44:59Z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2022-06-21T16:44:59Z</dcterms:created>
  <dcterms:modified xsi:type="dcterms:W3CDTF">2022-06-21T16:44:59Z</dcterms:modified>
</cp:coreProperties>
</file>