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A852DB" w14:paraId="0A23A494" w14:textId="77777777" w:rsidTr="00A852DB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9B270" w14:textId="77777777" w:rsidR="00A852DB" w:rsidRDefault="00A852DB">
            <w:pPr>
              <w:spacing w:before="120"/>
              <w:jc w:val="center"/>
            </w:pPr>
            <w:r>
              <w:rPr>
                <w:b/>
                <w:bCs/>
              </w:rPr>
              <w:t>BỘ QUỐC PHÒNG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F4EEC" w14:textId="77777777" w:rsidR="00A852DB" w:rsidRDefault="00A852D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A852DB" w14:paraId="582705B8" w14:textId="77777777" w:rsidTr="00A852DB"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8A60" w14:textId="77777777" w:rsidR="00A852DB" w:rsidRDefault="00A852DB">
            <w:pPr>
              <w:spacing w:before="120"/>
              <w:jc w:val="center"/>
            </w:pPr>
            <w:proofErr w:type="spellStart"/>
            <w:r>
              <w:t>Số</w:t>
            </w:r>
            <w:proofErr w:type="spellEnd"/>
            <w:r>
              <w:t>: 95/2024/TT-BQP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238BA" w14:textId="77777777" w:rsidR="00A852DB" w:rsidRDefault="00A852DB">
            <w:pPr>
              <w:spacing w:before="120"/>
              <w:jc w:val="right"/>
            </w:pPr>
            <w:proofErr w:type="spellStart"/>
            <w:r>
              <w:rPr>
                <w:i/>
                <w:iCs/>
              </w:rPr>
              <w:t>Hà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Nội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11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11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2024</w:t>
            </w:r>
          </w:p>
        </w:tc>
      </w:tr>
    </w:tbl>
    <w:p w14:paraId="6C134EFD" w14:textId="77777777" w:rsidR="00A852DB" w:rsidRDefault="00A852DB" w:rsidP="00A852DB">
      <w:pPr>
        <w:spacing w:before="120" w:after="100" w:afterAutospacing="1"/>
      </w:pPr>
      <w:r>
        <w:t> </w:t>
      </w:r>
    </w:p>
    <w:p w14:paraId="3BCA365F" w14:textId="77777777" w:rsidR="00A852DB" w:rsidRDefault="00A852DB" w:rsidP="00A852DB">
      <w:pPr>
        <w:spacing w:before="120" w:after="100" w:afterAutospacing="1"/>
        <w:jc w:val="center"/>
      </w:pPr>
      <w:bookmarkStart w:id="0" w:name="loai_1"/>
      <w:r>
        <w:rPr>
          <w:b/>
          <w:bCs/>
        </w:rPr>
        <w:t>THÔNG TƯ</w:t>
      </w:r>
      <w:bookmarkEnd w:id="0"/>
    </w:p>
    <w:p w14:paraId="5794BB18" w14:textId="77777777" w:rsidR="00A852DB" w:rsidRDefault="00A852DB" w:rsidP="00A852DB">
      <w:pPr>
        <w:spacing w:before="120" w:after="100" w:afterAutospacing="1"/>
        <w:jc w:val="center"/>
      </w:pPr>
      <w:bookmarkStart w:id="1" w:name="loai_1_name"/>
      <w:r>
        <w:t>HƯỚNG DẪN THỰC HIỆN CHẾ ĐỘ TIỀN THƯỞNG ĐỐI VỚI CÁC ĐỐI TƯỢNG HƯỞNG LƯƠNG TỪ NGÂN SÁCH NHÀ NƯỚC THUỘC PHẠM VI QUẢN LÝ CỦA BỘ QUỐC PHÒNG</w:t>
      </w:r>
      <w:bookmarkEnd w:id="1"/>
    </w:p>
    <w:p w14:paraId="7FDA66B9" w14:textId="77777777" w:rsidR="00A852DB" w:rsidRDefault="00A852DB" w:rsidP="00A852DB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2" w:name="tvpllink_apwcxupwjb"/>
      <w:r>
        <w:rPr>
          <w:i/>
          <w:iCs/>
        </w:rPr>
        <w:t>204/2004/NĐ-CP</w:t>
      </w:r>
      <w:bookmarkEnd w:id="2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14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12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2004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viên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lượng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trang</w:t>
      </w:r>
      <w:proofErr w:type="spellEnd"/>
      <w:r>
        <w:rPr>
          <w:i/>
          <w:iCs/>
        </w:rPr>
        <w:t>;</w:t>
      </w:r>
    </w:p>
    <w:p w14:paraId="78A3D3B2" w14:textId="77777777" w:rsidR="00A852DB" w:rsidRDefault="00A852DB" w:rsidP="00A852DB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3" w:name="tvpllink_hsxlktzaob"/>
      <w:r>
        <w:rPr>
          <w:i/>
          <w:iCs/>
        </w:rPr>
        <w:t>19/2017/NĐ-CP</w:t>
      </w:r>
      <w:bookmarkEnd w:id="3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24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02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2017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cấp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thâm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>;</w:t>
      </w:r>
    </w:p>
    <w:p w14:paraId="3FFD43AF" w14:textId="77777777" w:rsidR="00A852DB" w:rsidRDefault="00A852DB" w:rsidP="00A852DB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bookmarkStart w:id="4" w:name="tvpllink_yqjyfteyhg"/>
      <w:r>
        <w:rPr>
          <w:i/>
          <w:iCs/>
        </w:rPr>
        <w:t>73/2024/NĐ-CP</w:t>
      </w:r>
      <w:bookmarkEnd w:id="4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6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2024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viên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lượng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trang</w:t>
      </w:r>
      <w:proofErr w:type="spellEnd"/>
      <w:r>
        <w:rPr>
          <w:i/>
          <w:iCs/>
        </w:rPr>
        <w:t>;</w:t>
      </w:r>
    </w:p>
    <w:p w14:paraId="721A5954" w14:textId="77777777" w:rsidR="00A852DB" w:rsidRDefault="00A852DB" w:rsidP="00A852DB">
      <w:pPr>
        <w:spacing w:before="120" w:after="100" w:afterAutospacing="1"/>
      </w:pPr>
      <w:proofErr w:type="spellStart"/>
      <w:r>
        <w:rPr>
          <w:i/>
          <w:iCs/>
        </w:rPr>
        <w:t>Căn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01/2022/NĐ-CP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30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2022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phủ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năng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>;</w:t>
      </w:r>
    </w:p>
    <w:p w14:paraId="77E1D3AA" w14:textId="77777777" w:rsidR="00A852DB" w:rsidRDefault="00A852DB" w:rsidP="00A852DB">
      <w:pPr>
        <w:spacing w:before="120" w:after="100" w:afterAutospacing="1"/>
      </w:pPr>
      <w:r>
        <w:rPr>
          <w:i/>
          <w:iCs/>
        </w:rPr>
        <w:t xml:space="preserve">Theo </w:t>
      </w:r>
      <w:proofErr w:type="spellStart"/>
      <w:r>
        <w:rPr>
          <w:i/>
          <w:iCs/>
        </w:rPr>
        <w:t>đề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Cục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>;</w:t>
      </w:r>
    </w:p>
    <w:p w14:paraId="2D820D2E" w14:textId="77777777" w:rsidR="00A852DB" w:rsidRDefault="00A852DB" w:rsidP="00A852DB">
      <w:pPr>
        <w:spacing w:before="120" w:after="100" w:afterAutospacing="1"/>
      </w:pP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 xml:space="preserve"> ban </w:t>
      </w:r>
      <w:proofErr w:type="spellStart"/>
      <w:r>
        <w:rPr>
          <w:i/>
          <w:iCs/>
        </w:rPr>
        <w:t>hành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hướng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dẫn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chế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tượng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hưởng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từ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nước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thuộc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phạm</w:t>
      </w:r>
      <w:proofErr w:type="spellEnd"/>
      <w:r>
        <w:rPr>
          <w:i/>
          <w:iCs/>
        </w:rPr>
        <w:t xml:space="preserve"> vi </w:t>
      </w:r>
      <w:proofErr w:type="spellStart"/>
      <w:r>
        <w:rPr>
          <w:i/>
          <w:iCs/>
        </w:rPr>
        <w:t>quản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>.</w:t>
      </w:r>
    </w:p>
    <w:p w14:paraId="71407141" w14:textId="77777777" w:rsidR="00A852DB" w:rsidRDefault="00A852DB" w:rsidP="00A852DB">
      <w:pPr>
        <w:spacing w:before="120" w:after="100" w:afterAutospacing="1"/>
      </w:pPr>
      <w:bookmarkStart w:id="5" w:name="dieu_1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1. </w:t>
      </w:r>
      <w:proofErr w:type="spellStart"/>
      <w:r>
        <w:rPr>
          <w:b/>
          <w:bCs/>
        </w:rPr>
        <w:t>Phạm</w:t>
      </w:r>
      <w:proofErr w:type="spellEnd"/>
      <w:r>
        <w:rPr>
          <w:b/>
          <w:bCs/>
        </w:rPr>
        <w:t xml:space="preserve"> vi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chỉnh</w:t>
      </w:r>
      <w:bookmarkEnd w:id="5"/>
      <w:proofErr w:type="spellEnd"/>
    </w:p>
    <w:p w14:paraId="5045B8C2" w14:textId="77777777" w:rsidR="00A852DB" w:rsidRDefault="00A852DB" w:rsidP="00A852DB">
      <w:pPr>
        <w:spacing w:before="120" w:after="100" w:afterAutospacing="1"/>
      </w:pP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1DCDC4EB" w14:textId="77777777" w:rsidR="00A852DB" w:rsidRDefault="00A852DB" w:rsidP="00A852DB">
      <w:pPr>
        <w:spacing w:before="120" w:after="100" w:afterAutospacing="1"/>
      </w:pPr>
      <w:bookmarkStart w:id="6" w:name="dieu_2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2. </w:t>
      </w:r>
      <w:proofErr w:type="spellStart"/>
      <w:r>
        <w:rPr>
          <w:b/>
          <w:bCs/>
        </w:rPr>
        <w:t>Đối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dụng</w:t>
      </w:r>
      <w:bookmarkEnd w:id="6"/>
      <w:proofErr w:type="spellEnd"/>
    </w:p>
    <w:p w14:paraId="7A08280F" w14:textId="77777777" w:rsidR="00A852DB" w:rsidRDefault="00A852DB" w:rsidP="00A852DB">
      <w:pPr>
        <w:spacing w:before="120" w:after="100" w:afterAutospacing="1"/>
      </w:pPr>
      <w:r>
        <w:t xml:space="preserve">1. </w:t>
      </w:r>
      <w:proofErr w:type="spellStart"/>
      <w:r>
        <w:t>Sĩ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,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(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).</w:t>
      </w:r>
    </w:p>
    <w:p w14:paraId="25F5CC99" w14:textId="77777777" w:rsidR="00A852DB" w:rsidRDefault="00A852DB" w:rsidP="00A852DB">
      <w:pPr>
        <w:spacing w:before="120" w:after="100" w:afterAutospacing="1"/>
      </w:pPr>
      <w:r>
        <w:t xml:space="preserve">2.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Ban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phủ</w:t>
      </w:r>
      <w:proofErr w:type="spellEnd"/>
      <w:r>
        <w:t>.</w:t>
      </w:r>
    </w:p>
    <w:p w14:paraId="61B6DAE1" w14:textId="77777777" w:rsidR="00A852DB" w:rsidRDefault="00A852DB" w:rsidP="00A852DB">
      <w:pPr>
        <w:spacing w:before="120" w:after="100" w:afterAutospacing="1"/>
      </w:pPr>
      <w:r>
        <w:t xml:space="preserve">3.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>.</w:t>
      </w:r>
    </w:p>
    <w:p w14:paraId="3EF7C6A6" w14:textId="77777777" w:rsidR="00A852DB" w:rsidRDefault="00A852DB" w:rsidP="00A852DB">
      <w:pPr>
        <w:spacing w:before="120" w:after="100" w:afterAutospacing="1"/>
      </w:pPr>
      <w:bookmarkStart w:id="7" w:name="dieu_3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3. </w:t>
      </w:r>
      <w:proofErr w:type="spellStart"/>
      <w:r>
        <w:rPr>
          <w:b/>
          <w:bCs/>
        </w:rPr>
        <w:t>Chế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định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hằng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năm</w:t>
      </w:r>
      <w:bookmarkEnd w:id="7"/>
      <w:proofErr w:type="spellEnd"/>
    </w:p>
    <w:p w14:paraId="428CB123" w14:textId="77777777" w:rsidR="00A852DB" w:rsidRDefault="00A852DB" w:rsidP="00A852DB">
      <w:pPr>
        <w:spacing w:before="120" w:after="100" w:afterAutospacing="1"/>
      </w:pPr>
      <w:r>
        <w:t xml:space="preserve">1.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thưởng</w:t>
      </w:r>
      <w:proofErr w:type="spellEnd"/>
    </w:p>
    <w:p w14:paraId="2A745599" w14:textId="77777777" w:rsidR="00A852DB" w:rsidRDefault="00A852DB" w:rsidP="00A852DB">
      <w:pPr>
        <w:spacing w:before="120" w:after="10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8" w:name="tc_1"/>
      <w:proofErr w:type="spellStart"/>
      <w:r>
        <w:t>khoản</w:t>
      </w:r>
      <w:proofErr w:type="spellEnd"/>
      <w:r>
        <w:t xml:space="preserve"> 1,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8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4C0485CE" w14:textId="77777777" w:rsidR="00A852DB" w:rsidRDefault="00A852DB" w:rsidP="00A852DB">
      <w:pPr>
        <w:spacing w:before="120" w:after="100" w:afterAutospacing="1"/>
      </w:pPr>
      <w:r>
        <w:t xml:space="preserve">2.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</w:p>
    <w:p w14:paraId="648E04A7" w14:textId="77777777" w:rsidR="00A852DB" w:rsidRDefault="00A852DB" w:rsidP="00A852DB">
      <w:pPr>
        <w:spacing w:before="120" w:after="100" w:afterAutospacing="1"/>
      </w:pPr>
      <w:r>
        <w:t xml:space="preserve">a)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</w:t>
      </w:r>
      <w:proofErr w:type="spellStart"/>
      <w:r>
        <w:t>Năm</w:t>
      </w:r>
      <w:proofErr w:type="spellEnd"/>
      <w:r>
        <w:t xml:space="preserve"> 2024,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04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08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37556C2F" w14:textId="77777777" w:rsidR="00A852DB" w:rsidRDefault="00A852DB" w:rsidP="00A852DB">
      <w:pPr>
        <w:spacing w:before="120" w:after="100" w:afterAutospacing="1"/>
      </w:pPr>
      <w:r>
        <w:t xml:space="preserve">b)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</w:t>
      </w:r>
      <w:proofErr w:type="spellStart"/>
      <w:r>
        <w:t>Năm</w:t>
      </w:r>
      <w:proofErr w:type="spellEnd"/>
      <w:r>
        <w:t xml:space="preserve"> 2024,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3,5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07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63242808" w14:textId="77777777" w:rsidR="00A852DB" w:rsidRDefault="00A852DB" w:rsidP="00A852DB">
      <w:pPr>
        <w:spacing w:before="120" w:after="100" w:afterAutospacing="1"/>
      </w:pPr>
      <w:r>
        <w:t xml:space="preserve">c)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: </w:t>
      </w:r>
      <w:proofErr w:type="spellStart"/>
      <w:r>
        <w:t>Năm</w:t>
      </w:r>
      <w:proofErr w:type="spellEnd"/>
      <w:r>
        <w:t xml:space="preserve"> 2024,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1,5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;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,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03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7D209664" w14:textId="77777777" w:rsidR="00A852DB" w:rsidRDefault="00A852DB" w:rsidP="00A852DB">
      <w:pPr>
        <w:spacing w:before="120" w:after="100" w:afterAutospacing="1"/>
      </w:pPr>
      <w:r>
        <w:t xml:space="preserve">d)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7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01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;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7 </w:t>
      </w:r>
      <w:proofErr w:type="spellStart"/>
      <w:r>
        <w:t>tháng</w:t>
      </w:r>
      <w:proofErr w:type="spellEnd"/>
      <w:r>
        <w:t xml:space="preserve">: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½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a, b </w:t>
      </w:r>
      <w:proofErr w:type="spellStart"/>
      <w:r>
        <w:t>và</w:t>
      </w:r>
      <w:proofErr w:type="spellEnd"/>
      <w:r>
        <w:t xml:space="preserve"> 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66367236" w14:textId="77777777" w:rsidR="00A852DB" w:rsidRDefault="00A852DB" w:rsidP="00A852DB">
      <w:pPr>
        <w:spacing w:before="120" w:after="100" w:afterAutospacing="1"/>
      </w:pP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1: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Nguyễn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01/8/2025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úy</w:t>
      </w:r>
      <w:proofErr w:type="spellEnd"/>
      <w:r>
        <w:t xml:space="preserve">;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QNCN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A </w:t>
      </w:r>
      <w:proofErr w:type="spellStart"/>
      <w:r>
        <w:t>từ</w:t>
      </w:r>
      <w:proofErr w:type="spellEnd"/>
      <w:r>
        <w:t xml:space="preserve"> 01/11/2024 </w:t>
      </w:r>
      <w:proofErr w:type="spellStart"/>
      <w:r>
        <w:t>đến</w:t>
      </w:r>
      <w:proofErr w:type="spellEnd"/>
      <w:r>
        <w:t xml:space="preserve"> 31/10/2025.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QNCN </w:t>
      </w:r>
      <w:proofErr w:type="spellStart"/>
      <w:r>
        <w:t>năm</w:t>
      </w:r>
      <w:proofErr w:type="spellEnd"/>
      <w:r>
        <w:t xml:space="preserve"> 2025,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là</w:t>
      </w:r>
      <w:proofErr w:type="spellEnd"/>
      <w:r>
        <w:t xml:space="preserve"> 3 </w:t>
      </w:r>
      <w:proofErr w:type="spellStart"/>
      <w:r>
        <w:t>tháng</w:t>
      </w:r>
      <w:proofErr w:type="spellEnd"/>
      <w:r>
        <w:t xml:space="preserve"> (</w:t>
      </w:r>
      <w:proofErr w:type="spellStart"/>
      <w:r>
        <w:t>từ</w:t>
      </w:r>
      <w:proofErr w:type="spellEnd"/>
      <w:r>
        <w:t xml:space="preserve"> 01/8/2025 </w:t>
      </w:r>
      <w:proofErr w:type="spellStart"/>
      <w:r>
        <w:t>đến</w:t>
      </w:r>
      <w:proofErr w:type="spellEnd"/>
      <w:r>
        <w:t xml:space="preserve"> 31/10/2025).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A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là</w:t>
      </w:r>
      <w:proofErr w:type="spellEnd"/>
      <w:r>
        <w:t xml:space="preserve"> 3,5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51C8736F" w14:textId="77777777" w:rsidR="00A852DB" w:rsidRDefault="00A852DB" w:rsidP="00A852DB">
      <w:pPr>
        <w:spacing w:before="120" w:after="100" w:afterAutospacing="1"/>
      </w:pP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2: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tá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C </w:t>
      </w:r>
      <w:proofErr w:type="spellStart"/>
      <w:r>
        <w:t>nghỉ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01/10/2024 </w:t>
      </w:r>
      <w:proofErr w:type="spellStart"/>
      <w:r>
        <w:t>đến</w:t>
      </w:r>
      <w:proofErr w:type="spellEnd"/>
      <w:r>
        <w:t xml:space="preserve"> 01/04/2025;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C </w:t>
      </w:r>
      <w:proofErr w:type="spellStart"/>
      <w:r>
        <w:t>từ</w:t>
      </w:r>
      <w:proofErr w:type="spellEnd"/>
      <w:r>
        <w:t xml:space="preserve"> 01/11/2024 </w:t>
      </w:r>
      <w:proofErr w:type="spellStart"/>
      <w:r>
        <w:t>đến</w:t>
      </w:r>
      <w:proofErr w:type="spellEnd"/>
      <w:r>
        <w:t xml:space="preserve"> 31/10/2025.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C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C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là</w:t>
      </w:r>
      <w:proofErr w:type="spellEnd"/>
      <w:r>
        <w:t xml:space="preserve"> 7 </w:t>
      </w:r>
      <w:proofErr w:type="spellStart"/>
      <w:r>
        <w:t>tháng</w:t>
      </w:r>
      <w:proofErr w:type="spellEnd"/>
      <w:r>
        <w:t xml:space="preserve"> (</w:t>
      </w:r>
      <w:proofErr w:type="spellStart"/>
      <w:r>
        <w:t>từ</w:t>
      </w:r>
      <w:proofErr w:type="spellEnd"/>
      <w:r>
        <w:t xml:space="preserve"> 01/4/2025 </w:t>
      </w:r>
      <w:proofErr w:type="spellStart"/>
      <w:r>
        <w:t>đến</w:t>
      </w:r>
      <w:proofErr w:type="spellEnd"/>
      <w:r>
        <w:t xml:space="preserve"> 31/10/2025).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C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 </w:t>
      </w:r>
      <w:proofErr w:type="spellStart"/>
      <w:r>
        <w:t>là</w:t>
      </w:r>
      <w:proofErr w:type="spellEnd"/>
      <w:r>
        <w:t xml:space="preserve"> 07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>.</w:t>
      </w:r>
    </w:p>
    <w:p w14:paraId="12013FCB" w14:textId="77777777" w:rsidR="00A852DB" w:rsidRDefault="00A852DB" w:rsidP="00A852DB">
      <w:pPr>
        <w:spacing w:before="120" w:after="100" w:afterAutospacing="1"/>
      </w:pPr>
      <w:r>
        <w:t xml:space="preserve">3.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9" w:name="tc_2"/>
      <w:proofErr w:type="spellStart"/>
      <w:r>
        <w:t>Điều</w:t>
      </w:r>
      <w:proofErr w:type="spellEnd"/>
      <w:r>
        <w:t xml:space="preserve"> 2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9"/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1 </w:t>
      </w:r>
      <w:proofErr w:type="spellStart"/>
      <w:r>
        <w:t>lần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>.</w:t>
      </w:r>
    </w:p>
    <w:p w14:paraId="54F919C0" w14:textId="77777777" w:rsidR="00A852DB" w:rsidRDefault="00A852DB" w:rsidP="00A852DB">
      <w:pPr>
        <w:spacing w:before="120" w:after="100" w:afterAutospacing="1"/>
      </w:pPr>
      <w:r>
        <w:t xml:space="preserve">4.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>.</w:t>
      </w:r>
    </w:p>
    <w:p w14:paraId="735DADC5" w14:textId="77777777" w:rsidR="00A852DB" w:rsidRDefault="00A852DB" w:rsidP="00A852DB">
      <w:pPr>
        <w:spacing w:before="120" w:after="100" w:afterAutospacing="1"/>
      </w:pPr>
      <w:bookmarkStart w:id="10" w:name="dieu_4"/>
      <w:proofErr w:type="spellStart"/>
      <w:r>
        <w:rPr>
          <w:b/>
          <w:bCs/>
        </w:rPr>
        <w:lastRenderedPageBreak/>
        <w:t>Điều</w:t>
      </w:r>
      <w:proofErr w:type="spellEnd"/>
      <w:r>
        <w:rPr>
          <w:b/>
          <w:bCs/>
        </w:rPr>
        <w:t xml:space="preserve"> 4. </w:t>
      </w:r>
      <w:proofErr w:type="spellStart"/>
      <w:r>
        <w:rPr>
          <w:b/>
          <w:bCs/>
        </w:rPr>
        <w:t>Chế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xuất</w:t>
      </w:r>
      <w:bookmarkEnd w:id="10"/>
      <w:proofErr w:type="spellEnd"/>
    </w:p>
    <w:p w14:paraId="6BE0424B" w14:textId="77777777" w:rsidR="00A852DB" w:rsidRDefault="00A852DB" w:rsidP="00A852DB">
      <w:pPr>
        <w:spacing w:before="120" w:after="100" w:afterAutospacing="1"/>
      </w:pPr>
      <w:r>
        <w:t xml:space="preserve">1.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thưởng</w:t>
      </w:r>
      <w:proofErr w:type="spellEnd"/>
    </w:p>
    <w:p w14:paraId="155C2E76" w14:textId="77777777" w:rsidR="00A852DB" w:rsidRDefault="00A852DB" w:rsidP="00A852DB">
      <w:pPr>
        <w:spacing w:before="120" w:after="100" w:afterAutospacing="1"/>
      </w:pP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1" w:name="tc_3"/>
      <w:proofErr w:type="spellStart"/>
      <w:r>
        <w:t>khoản</w:t>
      </w:r>
      <w:proofErr w:type="spellEnd"/>
      <w:r>
        <w:t xml:space="preserve"> 1, </w:t>
      </w:r>
      <w:proofErr w:type="spellStart"/>
      <w:r>
        <w:t>khoản</w:t>
      </w:r>
      <w:proofErr w:type="spellEnd"/>
      <w:r>
        <w:t xml:space="preserve"> 2 </w:t>
      </w:r>
      <w:proofErr w:type="spellStart"/>
      <w:r>
        <w:t>Điều</w:t>
      </w:r>
      <w:proofErr w:type="spellEnd"/>
      <w:r>
        <w:t xml:space="preserve"> 2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bookmarkEnd w:id="11"/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, </w:t>
      </w:r>
      <w:proofErr w:type="spellStart"/>
      <w:r>
        <w:t>diễn</w:t>
      </w:r>
      <w:proofErr w:type="spellEnd"/>
      <w:r>
        <w:t xml:space="preserve"> ra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nhiệm</w:t>
      </w:r>
      <w:proofErr w:type="spellEnd"/>
      <w:r>
        <w:t>.</w:t>
      </w:r>
    </w:p>
    <w:p w14:paraId="0C6F180C" w14:textId="77777777" w:rsidR="00A852DB" w:rsidRDefault="00A852DB" w:rsidP="00A852DB">
      <w:pPr>
        <w:spacing w:before="120" w:after="100" w:afterAutospacing="1"/>
      </w:pPr>
      <w:r>
        <w:t xml:space="preserve">2.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</w:p>
    <w:p w14:paraId="1CFA3A29" w14:textId="77777777" w:rsidR="00A852DB" w:rsidRDefault="00A852DB" w:rsidP="00A852DB">
      <w:pPr>
        <w:spacing w:before="120" w:after="100" w:afterAutospacing="1"/>
      </w:pPr>
      <w:r>
        <w:t xml:space="preserve">a)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4695FA68" w14:textId="77777777" w:rsidR="00A852DB" w:rsidRDefault="00A852DB" w:rsidP="00A852DB">
      <w:pPr>
        <w:spacing w:before="120" w:after="100" w:afterAutospacing="1"/>
      </w:pPr>
      <w:r>
        <w:t xml:space="preserve">b)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;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thăng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hàm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bậc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a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>.</w:t>
      </w:r>
    </w:p>
    <w:p w14:paraId="02B43483" w14:textId="77777777" w:rsidR="00A852DB" w:rsidRDefault="00A852DB" w:rsidP="00A852DB">
      <w:pPr>
        <w:spacing w:before="120" w:after="100" w:afterAutospacing="1"/>
      </w:pPr>
      <w:r>
        <w:t xml:space="preserve">c)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>.</w:t>
      </w:r>
    </w:p>
    <w:p w14:paraId="564F3911" w14:textId="77777777" w:rsidR="00A852DB" w:rsidRDefault="00A852DB" w:rsidP="00A852DB">
      <w:pPr>
        <w:spacing w:before="120" w:after="100" w:afterAutospacing="1"/>
      </w:pPr>
      <w:r>
        <w:t xml:space="preserve">3.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bookmarkStart w:id="12" w:name="tvpllink_mqzjvkhjyn"/>
      <w:proofErr w:type="spellStart"/>
      <w:r>
        <w:t>Luật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bookmarkEnd w:id="12"/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: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;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trào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đua</w:t>
      </w:r>
      <w:proofErr w:type="spellEnd"/>
      <w:r>
        <w:t xml:space="preserve">;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cống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;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niên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;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; </w:t>
      </w:r>
      <w:proofErr w:type="spellStart"/>
      <w:r>
        <w:t>khen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cuộc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,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>.</w:t>
      </w:r>
    </w:p>
    <w:p w14:paraId="384D12DA" w14:textId="77777777" w:rsidR="00A852DB" w:rsidRDefault="00A852DB" w:rsidP="00A852DB">
      <w:pPr>
        <w:spacing w:before="120" w:after="100" w:afterAutospacing="1"/>
      </w:pPr>
      <w:bookmarkStart w:id="13" w:name="dieu_5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5. </w:t>
      </w:r>
      <w:proofErr w:type="spellStart"/>
      <w:r>
        <w:rPr>
          <w:b/>
          <w:bCs/>
        </w:rPr>
        <w:t>Quy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trình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thủ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tục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xét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chi </w:t>
      </w:r>
      <w:proofErr w:type="spellStart"/>
      <w:r>
        <w:rPr>
          <w:b/>
          <w:bCs/>
        </w:rPr>
        <w:t>trả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tiền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thưởng</w:t>
      </w:r>
      <w:bookmarkEnd w:id="13"/>
      <w:proofErr w:type="spellEnd"/>
    </w:p>
    <w:p w14:paraId="7FD8FF39" w14:textId="77777777" w:rsidR="00A852DB" w:rsidRDefault="00A852DB" w:rsidP="00A852DB">
      <w:pPr>
        <w:spacing w:before="120" w:after="100" w:afterAutospacing="1"/>
      </w:pPr>
      <w:r>
        <w:t xml:space="preserve">1.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</w:p>
    <w:p w14:paraId="42C4193B" w14:textId="77777777" w:rsidR="00A852DB" w:rsidRDefault="00A852DB" w:rsidP="00A852DB">
      <w:pPr>
        <w:spacing w:before="120" w:after="100" w:afterAutospacing="1"/>
      </w:pP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đoàn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đương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,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7808B915" w14:textId="77777777" w:rsidR="00A852DB" w:rsidRDefault="00A852DB" w:rsidP="00A852DB">
      <w:pPr>
        <w:spacing w:before="120" w:after="100" w:afterAutospacing="1"/>
      </w:pPr>
      <w:r>
        <w:t xml:space="preserve">2.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: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01B153DE" w14:textId="77777777" w:rsidR="00A852DB" w:rsidRDefault="00A852DB" w:rsidP="00A852DB">
      <w:pPr>
        <w:spacing w:before="120" w:after="100" w:afterAutospacing="1"/>
      </w:pPr>
      <w:bookmarkStart w:id="14" w:name="dieu_6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6. </w:t>
      </w:r>
      <w:proofErr w:type="spellStart"/>
      <w:r>
        <w:rPr>
          <w:b/>
          <w:bCs/>
        </w:rPr>
        <w:t>Kinh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bảo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đảm</w:t>
      </w:r>
      <w:bookmarkEnd w:id="14"/>
      <w:proofErr w:type="spellEnd"/>
    </w:p>
    <w:p w14:paraId="0AEB1B3B" w14:textId="77777777" w:rsidR="00A852DB" w:rsidRDefault="00A852DB" w:rsidP="00A852DB">
      <w:pPr>
        <w:spacing w:before="120" w:after="100" w:afterAutospacing="1"/>
      </w:pPr>
      <w:r>
        <w:lastRenderedPageBreak/>
        <w:t xml:space="preserve">1.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chi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;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hạch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78806705" w14:textId="77777777" w:rsidR="00A852DB" w:rsidRDefault="00A852DB" w:rsidP="00A852DB">
      <w:pPr>
        <w:spacing w:before="120" w:after="100" w:afterAutospacing="1"/>
      </w:pPr>
      <w:r>
        <w:t xml:space="preserve">a)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chi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: </w:t>
      </w:r>
      <w:proofErr w:type="spellStart"/>
      <w:r>
        <w:t>Mục</w:t>
      </w:r>
      <w:proofErr w:type="spellEnd"/>
      <w:r>
        <w:t xml:space="preserve"> 6200,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6201,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00, </w:t>
      </w:r>
      <w:proofErr w:type="spellStart"/>
      <w:r>
        <w:t>Ngành</w:t>
      </w:r>
      <w:proofErr w:type="spellEnd"/>
      <w:r>
        <w:t xml:space="preserve"> 00.</w:t>
      </w:r>
    </w:p>
    <w:p w14:paraId="70FD31AD" w14:textId="77777777" w:rsidR="00A852DB" w:rsidRDefault="00A852DB" w:rsidP="00A852DB">
      <w:pPr>
        <w:spacing w:before="120" w:after="100" w:afterAutospacing="1"/>
      </w:pPr>
      <w:r>
        <w:t xml:space="preserve">b)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chi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: </w:t>
      </w:r>
      <w:proofErr w:type="spellStart"/>
      <w:r>
        <w:t>Mục</w:t>
      </w:r>
      <w:proofErr w:type="spellEnd"/>
      <w:r>
        <w:t xml:space="preserve"> 6200,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6201,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00, </w:t>
      </w:r>
      <w:proofErr w:type="spellStart"/>
      <w:r>
        <w:t>Ngành</w:t>
      </w:r>
      <w:proofErr w:type="spellEnd"/>
      <w:r>
        <w:t xml:space="preserve"> 00.</w:t>
      </w:r>
    </w:p>
    <w:p w14:paraId="3C67A91E" w14:textId="77777777" w:rsidR="00A852DB" w:rsidRDefault="00A852DB" w:rsidP="00A852DB">
      <w:pPr>
        <w:spacing w:before="120" w:after="100" w:afterAutospacing="1"/>
      </w:pPr>
      <w:r>
        <w:t xml:space="preserve">2.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chi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>.</w:t>
      </w:r>
    </w:p>
    <w:p w14:paraId="6FCFB3B2" w14:textId="77777777" w:rsidR="00A852DB" w:rsidRDefault="00A852DB" w:rsidP="00A852DB">
      <w:pPr>
        <w:spacing w:before="120" w:after="100" w:afterAutospacing="1"/>
      </w:pPr>
      <w:bookmarkStart w:id="15" w:name="dieu_7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7. </w:t>
      </w:r>
      <w:proofErr w:type="spellStart"/>
      <w:r>
        <w:rPr>
          <w:b/>
          <w:bCs/>
        </w:rPr>
        <w:t>Tổ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thực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hiện</w:t>
      </w:r>
      <w:bookmarkEnd w:id="15"/>
      <w:proofErr w:type="spellEnd"/>
    </w:p>
    <w:p w14:paraId="0E2D9EAA" w14:textId="77777777" w:rsidR="00A852DB" w:rsidRDefault="00A852DB" w:rsidP="00A852DB">
      <w:pPr>
        <w:spacing w:before="120" w:after="100" w:afterAutospacing="1"/>
      </w:pPr>
      <w:r>
        <w:t xml:space="preserve">1.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mưu</w:t>
      </w:r>
      <w:proofErr w:type="spellEnd"/>
      <w:r>
        <w:t xml:space="preserve">,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quyển</w:t>
      </w:r>
      <w:proofErr w:type="spellEnd"/>
      <w:r>
        <w:t xml:space="preserve"> </w:t>
      </w:r>
      <w:proofErr w:type="spellStart"/>
      <w:r>
        <w:t>rà</w:t>
      </w:r>
      <w:proofErr w:type="spellEnd"/>
      <w:r>
        <w:t xml:space="preserve"> </w:t>
      </w:r>
      <w:proofErr w:type="spellStart"/>
      <w:r>
        <w:t>soát</w:t>
      </w:r>
      <w:proofErr w:type="spellEnd"/>
      <w:r>
        <w:t xml:space="preserve">,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sung,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xếp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072CA1EC" w14:textId="77777777" w:rsidR="00A852DB" w:rsidRDefault="00A852DB" w:rsidP="00A852DB">
      <w:pPr>
        <w:spacing w:before="120" w:after="100" w:afterAutospacing="1"/>
      </w:pPr>
      <w:r>
        <w:t xml:space="preserve">2.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quy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đột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-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Ban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vũ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564C9D1F" w14:textId="77777777" w:rsidR="00A852DB" w:rsidRDefault="00A852DB" w:rsidP="00A852DB">
      <w:pPr>
        <w:spacing w:before="120" w:after="100" w:afterAutospacing="1"/>
      </w:pPr>
      <w:r>
        <w:t xml:space="preserve">3.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bookmarkStart w:id="16" w:name="bieumau_pl_01"/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bookmarkEnd w:id="16"/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(qua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)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25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2024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5434858D" w14:textId="77777777" w:rsidR="00A852DB" w:rsidRDefault="00A852DB" w:rsidP="00A852DB">
      <w:pPr>
        <w:spacing w:before="120" w:after="100" w:afterAutospacing="1"/>
      </w:pPr>
      <w:bookmarkStart w:id="17" w:name="dieu_8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8.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khoản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17"/>
      <w:proofErr w:type="spellEnd"/>
    </w:p>
    <w:p w14:paraId="7DF46383" w14:textId="77777777" w:rsidR="00A852DB" w:rsidRDefault="00A852DB" w:rsidP="00A852DB">
      <w:pPr>
        <w:spacing w:before="120" w:after="100" w:afterAutospacing="1"/>
      </w:pPr>
      <w:r>
        <w:t xml:space="preserve">1.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25 </w:t>
      </w:r>
      <w:proofErr w:type="spellStart"/>
      <w:r>
        <w:t>tháng</w:t>
      </w:r>
      <w:proofErr w:type="spellEnd"/>
      <w:r>
        <w:t xml:space="preserve"> 12 </w:t>
      </w:r>
      <w:proofErr w:type="spellStart"/>
      <w:r>
        <w:t>năm</w:t>
      </w:r>
      <w:proofErr w:type="spellEnd"/>
      <w:r>
        <w:t xml:space="preserve"> 2024.</w:t>
      </w:r>
    </w:p>
    <w:p w14:paraId="239A8B02" w14:textId="77777777" w:rsidR="00A852DB" w:rsidRDefault="00A852DB" w:rsidP="00A852DB">
      <w:pPr>
        <w:spacing w:before="120" w:after="100" w:afterAutospacing="1"/>
      </w:pPr>
      <w:r>
        <w:t xml:space="preserve">2.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01 </w:t>
      </w:r>
      <w:proofErr w:type="spellStart"/>
      <w:r>
        <w:t>tháng</w:t>
      </w:r>
      <w:proofErr w:type="spellEnd"/>
      <w:r>
        <w:t xml:space="preserve"> 7 </w:t>
      </w:r>
      <w:proofErr w:type="spellStart"/>
      <w:r>
        <w:t>năm</w:t>
      </w:r>
      <w:proofErr w:type="spellEnd"/>
      <w:r>
        <w:t xml:space="preserve"> 2024.</w:t>
      </w:r>
    </w:p>
    <w:p w14:paraId="7AD38D49" w14:textId="77777777" w:rsidR="00A852DB" w:rsidRDefault="00A852DB" w:rsidP="00A852DB">
      <w:pPr>
        <w:spacing w:before="120" w:after="100" w:afterAutospacing="1"/>
      </w:pPr>
      <w:r>
        <w:t xml:space="preserve">3.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1 </w:t>
      </w:r>
      <w:proofErr w:type="spellStart"/>
      <w:r>
        <w:t>Điều</w:t>
      </w:r>
      <w:proofErr w:type="spellEnd"/>
      <w:r>
        <w:t xml:space="preserve"> 9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198/2016/TT-BQP </w:t>
      </w:r>
      <w:proofErr w:type="spellStart"/>
      <w:r>
        <w:t>ngày</w:t>
      </w:r>
      <w:proofErr w:type="spellEnd"/>
      <w:r>
        <w:t xml:space="preserve"> 30 </w:t>
      </w:r>
      <w:proofErr w:type="spellStart"/>
      <w:r>
        <w:t>tháng</w:t>
      </w:r>
      <w:proofErr w:type="spellEnd"/>
      <w:r>
        <w:t xml:space="preserve"> 11 </w:t>
      </w:r>
      <w:proofErr w:type="spellStart"/>
      <w:r>
        <w:t>năm</w:t>
      </w:r>
      <w:proofErr w:type="spellEnd"/>
      <w:r>
        <w:t xml:space="preserve"> 2016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;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Quân</w:t>
      </w:r>
      <w:proofErr w:type="spellEnd"/>
      <w:r>
        <w:t xml:space="preserve">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sửa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,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144/2018/TT-BQP </w:t>
      </w:r>
      <w:proofErr w:type="spellStart"/>
      <w:r>
        <w:t>ngày</w:t>
      </w:r>
      <w:proofErr w:type="spellEnd"/>
      <w:r>
        <w:t xml:space="preserve"> 26 </w:t>
      </w:r>
      <w:proofErr w:type="spellStart"/>
      <w:r>
        <w:t>tháng</w:t>
      </w:r>
      <w:proofErr w:type="spellEnd"/>
      <w:r>
        <w:t xml:space="preserve"> 9 </w:t>
      </w:r>
      <w:proofErr w:type="spellStart"/>
      <w:r>
        <w:t>năm</w:t>
      </w:r>
      <w:proofErr w:type="spellEnd"/>
      <w:r>
        <w:t xml:space="preserve"> 2018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20E02740" w14:textId="77777777" w:rsidR="00A852DB" w:rsidRDefault="00A852DB" w:rsidP="00A852DB">
      <w:pPr>
        <w:spacing w:before="120" w:after="100" w:afterAutospacing="1"/>
      </w:pPr>
      <w:r>
        <w:rPr>
          <w:i/>
          <w:iCs/>
        </w:rPr>
        <w:t xml:space="preserve">"1. </w:t>
      </w:r>
      <w:proofErr w:type="spellStart"/>
      <w:r>
        <w:rPr>
          <w:i/>
          <w:iCs/>
        </w:rPr>
        <w:t>Thời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điểm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đánh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hằng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tính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từ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01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trước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đến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10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đánh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loại</w:t>
      </w:r>
      <w:proofErr w:type="spellEnd"/>
      <w:r>
        <w:rPr>
          <w:i/>
          <w:iCs/>
        </w:rPr>
        <w:t xml:space="preserve">). </w:t>
      </w:r>
      <w:proofErr w:type="spellStart"/>
      <w:r>
        <w:rPr>
          <w:i/>
          <w:iCs/>
        </w:rPr>
        <w:t>Trường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chuyển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thì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tiếp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chịu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đánh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ý </w:t>
      </w:r>
      <w:proofErr w:type="spellStart"/>
      <w:r>
        <w:rPr>
          <w:i/>
          <w:iCs/>
        </w:rPr>
        <w:t>kiến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xét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quan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tổ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chức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đơn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trước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chuyển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tác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Trường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giảm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ra </w:t>
      </w:r>
      <w:proofErr w:type="spellStart"/>
      <w:r>
        <w:rPr>
          <w:i/>
          <w:iCs/>
        </w:rPr>
        <w:t>ngoài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thì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thời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điểm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đánh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trước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liền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bắt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giảm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thời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đánh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đến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hết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đó</w:t>
      </w:r>
      <w:proofErr w:type="spellEnd"/>
      <w:r>
        <w:rPr>
          <w:i/>
          <w:iCs/>
        </w:rPr>
        <w:t xml:space="preserve">; </w:t>
      </w:r>
      <w:proofErr w:type="spellStart"/>
      <w:r>
        <w:rPr>
          <w:i/>
          <w:iCs/>
        </w:rPr>
        <w:t>riêng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2024, </w:t>
      </w:r>
      <w:proofErr w:type="spellStart"/>
      <w:r>
        <w:rPr>
          <w:i/>
          <w:iCs/>
        </w:rPr>
        <w:t>các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giảm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ra </w:t>
      </w:r>
      <w:proofErr w:type="spellStart"/>
      <w:r>
        <w:rPr>
          <w:i/>
          <w:iCs/>
        </w:rPr>
        <w:t>ngoài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đội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31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7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2024 </w:t>
      </w:r>
      <w:proofErr w:type="spellStart"/>
      <w:r>
        <w:rPr>
          <w:i/>
          <w:iCs/>
        </w:rPr>
        <w:lastRenderedPageBreak/>
        <w:t>nhưng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đánh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thì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thực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đánh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phân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bổ</w:t>
      </w:r>
      <w:proofErr w:type="spellEnd"/>
      <w:r>
        <w:rPr>
          <w:i/>
          <w:iCs/>
        </w:rPr>
        <w:t xml:space="preserve"> sung </w:t>
      </w:r>
      <w:proofErr w:type="spellStart"/>
      <w:r>
        <w:rPr>
          <w:i/>
          <w:iCs/>
        </w:rPr>
        <w:t>vào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2024 ”</w:t>
      </w:r>
      <w:proofErr w:type="gramEnd"/>
      <w:r>
        <w:rPr>
          <w:i/>
          <w:iCs/>
        </w:rPr>
        <w:t>.</w:t>
      </w:r>
    </w:p>
    <w:p w14:paraId="524E944C" w14:textId="77777777" w:rsidR="00A852DB" w:rsidRDefault="00A852DB" w:rsidP="00A852DB">
      <w:pPr>
        <w:spacing w:before="120" w:after="100" w:afterAutospacing="1"/>
      </w:pPr>
      <w:bookmarkStart w:id="18" w:name="dieu_9"/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9. </w:t>
      </w:r>
      <w:proofErr w:type="spellStart"/>
      <w:r>
        <w:rPr>
          <w:b/>
          <w:bCs/>
        </w:rPr>
        <w:t>Trách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nhiệm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hành</w:t>
      </w:r>
      <w:bookmarkEnd w:id="18"/>
      <w:proofErr w:type="spellEnd"/>
    </w:p>
    <w:p w14:paraId="2B9BFD7B" w14:textId="77777777" w:rsidR="00A852DB" w:rsidRDefault="00A852DB" w:rsidP="00A852DB">
      <w:pPr>
        <w:spacing w:before="120" w:after="100" w:afterAutospacing="1"/>
      </w:pPr>
      <w:r>
        <w:t xml:space="preserve">1.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này</w:t>
      </w:r>
      <w:proofErr w:type="spellEnd"/>
      <w:r>
        <w:t>.</w:t>
      </w:r>
    </w:p>
    <w:p w14:paraId="1A58114E" w14:textId="77777777" w:rsidR="00A852DB" w:rsidRDefault="00A852DB" w:rsidP="00A852DB">
      <w:pPr>
        <w:spacing w:before="120" w:after="100" w:afterAutospacing="1"/>
      </w:pPr>
      <w:r>
        <w:t xml:space="preserve">2.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vướng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(qua </w:t>
      </w:r>
      <w:proofErr w:type="spellStart"/>
      <w:r>
        <w:t>Cục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>./.</w:t>
      </w:r>
    </w:p>
    <w:p w14:paraId="3F9CAAF6" w14:textId="77777777" w:rsidR="00A852DB" w:rsidRDefault="00A852DB" w:rsidP="00A852DB">
      <w:pPr>
        <w:spacing w:before="120" w:after="100" w:afterAutospacing="1"/>
      </w:pPr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852DB" w14:paraId="7FD7E693" w14:textId="77777777" w:rsidTr="00A852DB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8019" w14:textId="77777777" w:rsidR="00A852DB" w:rsidRDefault="00A852DB">
            <w:pPr>
              <w:spacing w:before="120"/>
            </w:pPr>
            <w:r>
              <w:rPr>
                <w:b/>
                <w:bCs/>
                <w:i/>
                <w:iCs/>
              </w:rPr>
              <w:br/>
            </w:r>
            <w:proofErr w:type="spellStart"/>
            <w:r>
              <w:rPr>
                <w:b/>
                <w:bCs/>
                <w:i/>
                <w:iCs/>
              </w:rPr>
              <w:t>Nơi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nhận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Thủ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tướng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phủ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để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cáo</w:t>
            </w:r>
            <w:proofErr w:type="spellEnd"/>
            <w:r>
              <w:rPr>
                <w:sz w:val="16"/>
              </w:rPr>
              <w:t>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Lãnh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đạo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(8);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mưu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Tổng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trị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quan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đơn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vị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trực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thuộc</w:t>
            </w:r>
            <w:proofErr w:type="spellEnd"/>
            <w:r>
              <w:rPr>
                <w:sz w:val="16"/>
              </w:rPr>
              <w:t xml:space="preserve"> BQP;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Các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cục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Tài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Tuyên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huấn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Cán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Quân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lực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Chính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sách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Cổng</w:t>
            </w:r>
            <w:proofErr w:type="spellEnd"/>
            <w:r>
              <w:rPr>
                <w:sz w:val="16"/>
              </w:rPr>
              <w:t xml:space="preserve"> TTĐT </w:t>
            </w:r>
            <w:proofErr w:type="spellStart"/>
            <w:r>
              <w:rPr>
                <w:sz w:val="16"/>
              </w:rPr>
              <w:t>Bộ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Quốc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phòng</w:t>
            </w:r>
            <w:proofErr w:type="spellEnd"/>
            <w:r>
              <w:rPr>
                <w:sz w:val="16"/>
              </w:rPr>
              <w:t>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Vụ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Pháp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chế</w:t>
            </w:r>
            <w:proofErr w:type="spellEnd"/>
            <w:r>
              <w:rPr>
                <w:sz w:val="16"/>
              </w:rPr>
              <w:t xml:space="preserve"> BQP;</w:t>
            </w:r>
            <w:r>
              <w:rPr>
                <w:sz w:val="16"/>
              </w:rPr>
              <w:br/>
              <w:t xml:space="preserve">- </w:t>
            </w:r>
            <w:proofErr w:type="spellStart"/>
            <w:r>
              <w:rPr>
                <w:sz w:val="16"/>
              </w:rPr>
              <w:t>Lưu</w:t>
            </w:r>
            <w:proofErr w:type="spellEnd"/>
            <w:r>
              <w:rPr>
                <w:sz w:val="16"/>
              </w:rPr>
              <w:t>: VT, THBĐ; TT88.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2C07" w14:textId="77777777" w:rsidR="00A852DB" w:rsidRDefault="00A852DB">
            <w:pPr>
              <w:spacing w:before="120"/>
              <w:jc w:val="center"/>
            </w:pPr>
            <w:r>
              <w:rPr>
                <w:b/>
                <w:bCs/>
              </w:rPr>
              <w:t>KT. BỘ TRƯỞNG</w:t>
            </w:r>
            <w:r>
              <w:rPr>
                <w:b/>
                <w:bCs/>
              </w:rPr>
              <w:br/>
              <w:t>THỨ TRƯỞNG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Thượng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tướng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Vũ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Hải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Sản</w:t>
            </w:r>
            <w:proofErr w:type="spellEnd"/>
          </w:p>
        </w:tc>
      </w:tr>
    </w:tbl>
    <w:p w14:paraId="18B59409" w14:textId="77777777" w:rsidR="00A852DB" w:rsidRDefault="00A852DB" w:rsidP="00A852DB">
      <w:pPr>
        <w:spacing w:before="120" w:after="100" w:afterAutospacing="1"/>
      </w:pPr>
      <w:r>
        <w:t> </w:t>
      </w:r>
    </w:p>
    <w:p w14:paraId="08FCCFDA" w14:textId="77777777" w:rsidR="00A852DB" w:rsidRDefault="00A852DB" w:rsidP="00A852DB">
      <w:pPr>
        <w:spacing w:before="120" w:after="100" w:afterAutospacing="1"/>
        <w:jc w:val="center"/>
      </w:pPr>
      <w:bookmarkStart w:id="19" w:name="chuong_pl"/>
      <w:r>
        <w:rPr>
          <w:b/>
          <w:bCs/>
        </w:rPr>
        <w:t>PHỤ LỤC</w:t>
      </w:r>
      <w:bookmarkEnd w:id="19"/>
    </w:p>
    <w:p w14:paraId="65BE829C" w14:textId="77777777" w:rsidR="00A852DB" w:rsidRDefault="00A852DB" w:rsidP="00A852DB">
      <w:pPr>
        <w:spacing w:before="120" w:after="100" w:afterAutospacing="1"/>
        <w:jc w:val="center"/>
      </w:pPr>
      <w:bookmarkStart w:id="20" w:name="chuong_pl_name"/>
      <w:r>
        <w:t>DỰ TOÁN NGÂN SÁCH TĂNG THÊM NĂM 2024 ĐỂ THỰC HIỆN CHẾ ĐỘ TIỀN THƯỞNG ĐỊNH KỲ HẰNG NĂM THEO NGHỊ ĐỊNH SỐ 73/2024/NĐ-CP NGÀY 30 THÁNG 6 NĂM 2024 CỦA CHÍNH PHỦ</w:t>
      </w:r>
      <w:bookmarkEnd w:id="20"/>
      <w:r>
        <w:br/>
      </w: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95/2024/TT-BQP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 11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2024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Quốc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phòng</w:t>
      </w:r>
      <w:proofErr w:type="spellEnd"/>
      <w:r>
        <w:rPr>
          <w:i/>
          <w:iCs/>
        </w:rPr>
        <w:t>)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5824"/>
      </w:tblGrid>
      <w:tr w:rsidR="00A852DB" w14:paraId="3E8D7B34" w14:textId="77777777" w:rsidTr="00A852DB"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A57F26" w14:textId="77777777" w:rsidR="00A852DB" w:rsidRDefault="00A852DB">
            <w:pPr>
              <w:spacing w:before="120"/>
              <w:jc w:val="center"/>
            </w:pPr>
            <w:r>
              <w:t xml:space="preserve">ĐƠN VỊ CẤP TRÊN ... </w:t>
            </w:r>
            <w:r>
              <w:rPr>
                <w:b/>
                <w:bCs/>
              </w:rPr>
              <w:br/>
              <w:t>ĐƠN VỊ ...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0BC4E5" w14:textId="77777777" w:rsidR="00A852DB" w:rsidRDefault="00A852D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Độc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lập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Tự</w:t>
            </w:r>
            <w:proofErr w:type="spellEnd"/>
            <w:r>
              <w:rPr>
                <w:b/>
                <w:bCs/>
              </w:rPr>
              <w:t xml:space="preserve"> do - </w:t>
            </w:r>
            <w:proofErr w:type="spellStart"/>
            <w:r>
              <w:rPr>
                <w:b/>
                <w:bCs/>
              </w:rPr>
              <w:t>Hạnh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phúc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A852DB" w14:paraId="0CDC2300" w14:textId="77777777" w:rsidTr="00A852DB">
        <w:tc>
          <w:tcPr>
            <w:tcW w:w="188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4BC56F3" w14:textId="77777777" w:rsidR="00A852DB" w:rsidRDefault="00A852DB">
            <w:pPr>
              <w:spacing w:before="120"/>
              <w:jc w:val="center"/>
            </w:pPr>
            <w:r>
              <w:rPr>
                <w:b/>
                <w:bCs/>
              </w:rPr>
              <w:t>MẬT</w:t>
            </w:r>
          </w:p>
        </w:tc>
        <w:tc>
          <w:tcPr>
            <w:tcW w:w="311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60990B" w14:textId="77777777" w:rsidR="00A852DB" w:rsidRDefault="00A852DB">
            <w:pPr>
              <w:spacing w:before="120"/>
              <w:jc w:val="right"/>
            </w:pPr>
            <w:proofErr w:type="gramStart"/>
            <w:r>
              <w:rPr>
                <w:i/>
                <w:iCs/>
              </w:rPr>
              <w:t>.....</w:t>
            </w:r>
            <w:proofErr w:type="gram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...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10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2024</w:t>
            </w:r>
          </w:p>
        </w:tc>
      </w:tr>
    </w:tbl>
    <w:p w14:paraId="74376EF8" w14:textId="77777777" w:rsidR="00A852DB" w:rsidRDefault="00A852DB" w:rsidP="00A852DB">
      <w:pPr>
        <w:spacing w:before="120" w:after="100" w:afterAutospacing="1"/>
        <w:jc w:val="center"/>
      </w:pPr>
      <w:r>
        <w:rPr>
          <w:b/>
          <w:bCs/>
        </w:rPr>
        <w:t> </w:t>
      </w:r>
    </w:p>
    <w:p w14:paraId="0DA9143C" w14:textId="77777777" w:rsidR="00A852DB" w:rsidRDefault="00A852DB" w:rsidP="00A852DB">
      <w:pPr>
        <w:spacing w:before="120" w:after="100" w:afterAutospacing="1"/>
        <w:jc w:val="center"/>
      </w:pPr>
      <w:r>
        <w:rPr>
          <w:b/>
          <w:bCs/>
        </w:rPr>
        <w:t>BÁO CÁO</w:t>
      </w:r>
      <w:r>
        <w:rPr>
          <w:b/>
          <w:bCs/>
        </w:rPr>
        <w:br/>
        <w:t>DỰ TOÁN NGÂN SÁCH TĂNG THÊM NĂM 2024 ĐỂ THỰC HIỆN CHẾ ĐỘ TIỀN THƯỞNG ĐỊNH KỲ HẰNG NĂM THEO NGHỊ ĐỊNH SỐ 73/2024/NĐ-CP NGÀY 30 THÁNG 6 NĂM 2024 CỦA CHÍNH PHỦ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7"/>
        <w:gridCol w:w="1194"/>
        <w:gridCol w:w="1543"/>
        <w:gridCol w:w="1425"/>
        <w:gridCol w:w="1151"/>
      </w:tblGrid>
      <w:tr w:rsidR="00A852DB" w14:paraId="6BD09CAF" w14:textId="77777777" w:rsidTr="00A852DB">
        <w:tc>
          <w:tcPr>
            <w:tcW w:w="21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A0A41" w14:textId="77777777" w:rsidR="00A852DB" w:rsidRDefault="00A852DB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Đối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tượng</w:t>
            </w:r>
            <w:proofErr w:type="spellEnd"/>
          </w:p>
        </w:tc>
        <w:tc>
          <w:tcPr>
            <w:tcW w:w="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82BE4" w14:textId="77777777" w:rsidR="00A852DB" w:rsidRDefault="00A852DB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Quân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</w:p>
        </w:tc>
        <w:tc>
          <w:tcPr>
            <w:tcW w:w="8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8A039" w14:textId="77777777" w:rsidR="00A852DB" w:rsidRDefault="00A852DB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Mức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thưởng</w:t>
            </w:r>
            <w:proofErr w:type="spellEnd"/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76EBD" w14:textId="77777777" w:rsidR="00A852DB" w:rsidRDefault="00A852DB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tiền</w:t>
            </w:r>
            <w:proofErr w:type="spellEnd"/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04629" w14:textId="77777777" w:rsidR="00A852DB" w:rsidRDefault="00A852DB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chú</w:t>
            </w:r>
            <w:proofErr w:type="spellEnd"/>
          </w:p>
        </w:tc>
      </w:tr>
      <w:tr w:rsidR="00A852DB" w14:paraId="5C19E3BB" w14:textId="77777777" w:rsidTr="00A852DB">
        <w:tc>
          <w:tcPr>
            <w:tcW w:w="2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17E747" w14:textId="77777777" w:rsidR="00A852DB" w:rsidRDefault="00A852DB">
            <w:pPr>
              <w:spacing w:before="120"/>
              <w:jc w:val="center"/>
            </w:pPr>
            <w:r>
              <w:t>a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05274" w14:textId="77777777" w:rsidR="00A852DB" w:rsidRDefault="00A852DB">
            <w:pPr>
              <w:spacing w:before="120"/>
              <w:jc w:val="center"/>
            </w:pPr>
            <w:r>
              <w:t>(1)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806CD" w14:textId="77777777" w:rsidR="00A852DB" w:rsidRDefault="00A852DB">
            <w:pPr>
              <w:spacing w:before="120"/>
              <w:jc w:val="center"/>
            </w:pPr>
            <w:r>
              <w:t>(2)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9DE6F" w14:textId="77777777" w:rsidR="00A852DB" w:rsidRDefault="00A852DB">
            <w:pPr>
              <w:spacing w:before="120"/>
              <w:jc w:val="center"/>
            </w:pPr>
            <w:r>
              <w:t>(3) = (</w:t>
            </w:r>
            <w:proofErr w:type="gramStart"/>
            <w:r>
              <w:t>1)*</w:t>
            </w:r>
            <w:proofErr w:type="gramEnd"/>
            <w:r>
              <w:t>(2)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71ABE" w14:textId="77777777" w:rsidR="00A852DB" w:rsidRDefault="00A852DB">
            <w:pPr>
              <w:spacing w:before="120"/>
              <w:jc w:val="center"/>
            </w:pPr>
            <w:r>
              <w:t>(4)</w:t>
            </w:r>
          </w:p>
        </w:tc>
      </w:tr>
      <w:tr w:rsidR="00A852DB" w14:paraId="12811178" w14:textId="77777777" w:rsidTr="00A852DB">
        <w:tc>
          <w:tcPr>
            <w:tcW w:w="2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426EAC" w14:textId="77777777" w:rsidR="00A852DB" w:rsidRDefault="00A852DB">
            <w:pPr>
              <w:spacing w:before="120"/>
            </w:pPr>
            <w:r>
              <w:t xml:space="preserve">1.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CB258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2CF75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D8E27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32F0D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</w:tr>
      <w:tr w:rsidR="00A852DB" w14:paraId="15B27F62" w14:textId="77777777" w:rsidTr="00A852DB">
        <w:tc>
          <w:tcPr>
            <w:tcW w:w="2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7D2ED" w14:textId="77777777" w:rsidR="00A852DB" w:rsidRDefault="00A852DB">
            <w:pPr>
              <w:spacing w:before="120"/>
            </w:pPr>
            <w:r>
              <w:lastRenderedPageBreak/>
              <w:t xml:space="preserve">2.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tốt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3BFFE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D92A58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A5F38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3AB62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</w:tr>
      <w:tr w:rsidR="00A852DB" w14:paraId="0CB746D8" w14:textId="77777777" w:rsidTr="00A852DB">
        <w:tc>
          <w:tcPr>
            <w:tcW w:w="2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D8F97" w14:textId="77777777" w:rsidR="00A852DB" w:rsidRDefault="00A852DB">
            <w:pPr>
              <w:spacing w:before="120"/>
            </w:pPr>
            <w:r>
              <w:t xml:space="preserve">3.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A8E84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A1EC4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B239C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212C7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</w:tr>
      <w:tr w:rsidR="00A852DB" w14:paraId="34705403" w14:textId="77777777" w:rsidTr="00A852DB">
        <w:tc>
          <w:tcPr>
            <w:tcW w:w="2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58B2E" w14:textId="77777777" w:rsidR="00A852DB" w:rsidRDefault="00A852DB">
            <w:pPr>
              <w:spacing w:before="120"/>
            </w:pPr>
            <w:r>
              <w:t>..........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96530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8BB77B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AC9BF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EA529E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</w:tr>
      <w:tr w:rsidR="00A852DB" w14:paraId="277D4CEB" w14:textId="77777777" w:rsidTr="00A852DB">
        <w:tc>
          <w:tcPr>
            <w:tcW w:w="2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3BE0C" w14:textId="77777777" w:rsidR="00A852DB" w:rsidRDefault="00A852DB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Tổng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cộng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EACB9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5114B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54D28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DA205" w14:textId="77777777" w:rsidR="00A852DB" w:rsidRDefault="00A852DB">
            <w:pPr>
              <w:spacing w:before="120"/>
              <w:jc w:val="center"/>
            </w:pPr>
            <w:r>
              <w:t> </w:t>
            </w:r>
          </w:p>
        </w:tc>
      </w:tr>
    </w:tbl>
    <w:p w14:paraId="0CFCA891" w14:textId="77777777" w:rsidR="00A852DB" w:rsidRDefault="00A852DB" w:rsidP="00A852DB">
      <w:pPr>
        <w:spacing w:before="120" w:after="100" w:afterAutospacing="1"/>
      </w:pPr>
      <w:proofErr w:type="spellStart"/>
      <w:r>
        <w:rPr>
          <w:b/>
          <w:bCs/>
          <w:i/>
          <w:iCs/>
        </w:rPr>
        <w:t>Bằng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chữ</w:t>
      </w:r>
      <w:proofErr w:type="spellEnd"/>
      <w:r>
        <w:rPr>
          <w:b/>
          <w:bCs/>
          <w:i/>
          <w:iCs/>
        </w:rPr>
        <w:t>:</w:t>
      </w:r>
      <w:r>
        <w:rPr>
          <w:i/>
          <w:iCs/>
        </w:rPr>
        <w:t xml:space="preserve"> .......................................................................................................................</w:t>
      </w:r>
    </w:p>
    <w:p w14:paraId="53DB8A4E" w14:textId="77777777" w:rsidR="00A852DB" w:rsidRDefault="00A852DB" w:rsidP="00A852DB">
      <w:pPr>
        <w:spacing w:before="120" w:after="100" w:afterAutospacing="1"/>
      </w:pPr>
      <w:r>
        <w:t> 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852DB" w14:paraId="1B1A48E9" w14:textId="77777777" w:rsidTr="00A852DB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5C50E" w14:textId="77777777" w:rsidR="00A852DB" w:rsidRDefault="00A852DB">
            <w:pPr>
              <w:spacing w:before="120"/>
              <w:jc w:val="center"/>
            </w:pPr>
            <w:r>
              <w:br/>
            </w:r>
            <w:r>
              <w:rPr>
                <w:b/>
                <w:bCs/>
              </w:rPr>
              <w:t xml:space="preserve">TRƯỞNG PHÒNG (BAN) TÀI CHÍNH </w:t>
            </w:r>
            <w:r>
              <w:rPr>
                <w:b/>
                <w:bCs/>
              </w:rPr>
              <w:br/>
            </w:r>
            <w:r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proofErr w:type="spellEnd"/>
            <w:r>
              <w:t xml:space="preserve">, </w:t>
            </w:r>
            <w:proofErr w:type="spellStart"/>
            <w:r>
              <w:t>tên</w:t>
            </w:r>
            <w:proofErr w:type="spellEnd"/>
            <w: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756114" w14:textId="77777777" w:rsidR="00A852DB" w:rsidRDefault="00A852DB">
            <w:pPr>
              <w:spacing w:before="120"/>
              <w:jc w:val="center"/>
            </w:pP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.....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....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2024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THỦ TRƯỞNG ĐƠN VỊ</w:t>
            </w:r>
            <w:r>
              <w:br/>
              <w:t>(</w:t>
            </w:r>
            <w:proofErr w:type="spellStart"/>
            <w:r>
              <w:t>Ký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,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>)</w:t>
            </w:r>
          </w:p>
        </w:tc>
      </w:tr>
    </w:tbl>
    <w:p w14:paraId="5A6BC3DF" w14:textId="77777777" w:rsidR="00A852DB" w:rsidRDefault="00A852DB" w:rsidP="00A852DB">
      <w:pPr>
        <w:spacing w:before="120" w:after="100" w:afterAutospacing="1"/>
      </w:pPr>
      <w:r>
        <w:rPr>
          <w:b/>
          <w:bCs/>
        </w:rPr>
        <w:t> </w:t>
      </w:r>
    </w:p>
    <w:p w14:paraId="6388966D" w14:textId="06445276" w:rsidR="000A3989" w:rsidRPr="00A852DB" w:rsidRDefault="000A3989" w:rsidP="00A852DB"/>
    <w:sectPr w:rsidR="000A3989" w:rsidRPr="00A85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B"/>
    <w:rsid w:val="000A3989"/>
    <w:rsid w:val="0010464E"/>
    <w:rsid w:val="002D2C9B"/>
    <w:rsid w:val="00876432"/>
    <w:rsid w:val="00A33395"/>
    <w:rsid w:val="00A852DB"/>
    <w:rsid w:val="00CC5B79"/>
    <w:rsid w:val="00FB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DDE78"/>
  <w15:chartTrackingRefBased/>
  <w15:docId w15:val="{CF6A02A0-8BBD-4BC3-A4EF-D01C81D3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C8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B5C8B"/>
    <w:rPr>
      <w:b/>
      <w:bCs/>
    </w:rPr>
  </w:style>
  <w:style w:type="character" w:styleId="Emphasis">
    <w:name w:val="Emphasis"/>
    <w:basedOn w:val="DefaultParagraphFont"/>
    <w:uiPriority w:val="20"/>
    <w:qFormat/>
    <w:rsid w:val="00FB5C8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B5C8B"/>
    <w:rPr>
      <w:color w:val="0000FF"/>
      <w:u w:val="single"/>
    </w:rPr>
  </w:style>
  <w:style w:type="paragraph" w:customStyle="1" w:styleId="msonormal0">
    <w:name w:val="msonormal"/>
    <w:basedOn w:val="Normal"/>
    <w:rsid w:val="00A333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1645</Words>
  <Characters>9381</Characters>
  <Application>Microsoft Office Word</Application>
  <DocSecurity>0</DocSecurity>
  <Lines>78</Lines>
  <Paragraphs>22</Paragraphs>
  <ScaleCrop>false</ScaleCrop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2025-04-22T11:39:00Z</dcterms:created>
  <dcterms:modified xsi:type="dcterms:W3CDTF">2025-04-23T19:43:00Z</dcterms:modified>
</cp:coreProperties>
</file>