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r>
              <w:rPr>
                <w:b/>
              </w:rPr>
              <w:br/>
            </w:r>
            <w:r>
              <w:rPr>
                <w:b/>
              </w:rPr>
              <w:t xml:space="preserve">-------</w:t>
            </w:r>
          </w:p>
          <w:p>
            <w:pPr>
              <w:pStyle w:val="Normal(Web)"/>
              <w:divId w:val="2"/>
              <w:jc w:val="center"/>
              <w:rPr>
                <w:vanish w:val="0"/>
              </w:rPr>
            </w:pPr>
            <w:r>
              <w:t xml:space="preserve">Số: </w:t>
            </w:r>
            <w:hyperlink r:id="rId3" w:history="1">
              <w:r>
                <w:rPr>
                  <w:rStyle w:val="Hyperlink"/>
                </w:rPr>
                <w:t xml:space="preserve">03/2015/TT-BNV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NGM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10 tháng 03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ĐIỀU 9 THÔNG TƯ SỐ </w:t>
      </w:r>
      <w:hyperlink r:id="rId4" w:history="1">
        <w:r>
          <w:rPr>
            <w:rStyle w:val="Hyperlink"/>
            <w:b/>
          </w:rPr>
          <w:t xml:space="preserve">13/2010/TT-BNV </w:t>
        </w:r>
      </w:hyperlink>
      <w:r>
        <w:rPr>
          <w:b/>
        </w:rPr>
        <w:t xml:space="preserve"> NGÀY 30 THÁNG 12 NĂM 2010 CỦA BỘ NỘI VỤ QUY ĐỊNH CHI TIẾT MỘT SỐ ĐIỀU VỀ TUYỂN DỤNG VÀ NÂNG NGẠCH CÔNG CHỨC CỦA NGHỊ ĐỊNH SỐ 24/2010/NĐ-CP NGÀY 15 THÁNG 3 NĂM 2010 CỦA CHÍNH PHỦ QUY ĐỊNH VỀ TUYỂN DỤNG, SỬ DỤNG VÀ QUẢN LÝ CÔNG CHỨC</w:t>
      </w:r>
    </w:p>
    <w:p>
      <w:pPr>
        <w:pStyle w:val="Normal(Web)"/>
        <w:divId w:val="7"/>
        <w:rPr>
          <w:vanish w:val="0"/>
        </w:rPr>
      </w:pPr>
      <w:r>
        <w:rPr>
          <w:i/>
        </w:rPr>
        <w:t xml:space="preserve">Căn cứ Nghị định số 24/2010/NĐ-CP ngày 15 tháng 3 năm 2010</w:t>
      </w:r>
      <w:r>
        <w:rPr>
          <w:i/>
        </w:rPr>
        <w:t xml:space="preserve">của</w:t>
      </w:r>
      <w:r>
        <w:rPr>
          <w:i/>
        </w:rPr>
        <w:t xml:space="preserve"> Chính phủ quy định </w:t>
      </w:r>
      <w:r>
        <w:rPr>
          <w:i/>
        </w:rPr>
        <w:t xml:space="preserve">về</w:t>
      </w:r>
      <w:r>
        <w:rPr>
          <w:i/>
        </w:rPr>
        <w:t xml:space="preserve"> tuyển dụng, sử dụng và quản </w:t>
      </w:r>
      <w:r>
        <w:rPr>
          <w:i/>
        </w:rPr>
        <w:t xml:space="preserve">lý</w:t>
      </w:r>
      <w:r>
        <w:rPr>
          <w:i/>
        </w:rPr>
        <w:t xml:space="preserve">công chức và Nghị định số 93/2010/NĐ-CP ngày 31 tháng 8 năm 2010 của Chính phủ sửa đổi một số điều của Nghị định số 24/2010/NĐ-CP;</w:t>
      </w:r>
    </w:p>
    <w:p>
      <w:pPr>
        <w:pStyle w:val="Normal(Web)"/>
        <w:divId w:val="8"/>
        <w:rPr>
          <w:vanish w:val="0"/>
        </w:rPr>
      </w:pPr>
      <w:r>
        <w:rPr>
          <w:i/>
        </w:rPr>
        <w:t xml:space="preserve">Căn cứ Nghị định số 58/2014/NĐ-CP ngày 16 tháng 6 năm 2014 của Chính phủ quy định chức năng, nhiệm vụ, quyền hạn và</w:t>
      </w:r>
      <w:r>
        <w:rPr>
          <w:i/>
        </w:rPr>
        <w:t xml:space="preserve">cơ cấu</w:t>
      </w:r>
      <w:r>
        <w:rPr>
          <w:i/>
        </w:rPr>
        <w:t xml:space="preserve">tổ chức</w:t>
      </w:r>
      <w:r>
        <w:rPr>
          <w:i/>
        </w:rPr>
        <w:t xml:space="preserve"> của Bộ Nội vụ;</w:t>
      </w:r>
    </w:p>
    <w:p>
      <w:pPr>
        <w:pStyle w:val="Normal(Web)"/>
        <w:divId w:val="9"/>
        <w:rPr>
          <w:vanish w:val="0"/>
        </w:rPr>
      </w:pPr>
      <w:r>
        <w:rPr>
          <w:i/>
        </w:rPr>
        <w:t xml:space="preserve">Theo đề nghị của Vụ trưởng Vụ Công chức - Viên chức, Bộ Nội vụ;</w:t>
      </w:r>
    </w:p>
    <w:p>
      <w:pPr>
        <w:pStyle w:val="Normal(Web)"/>
        <w:divId w:val="10"/>
        <w:rPr>
          <w:vanish w:val="0"/>
        </w:rPr>
      </w:pPr>
      <w:r>
        <w:rPr>
          <w:i/>
        </w:rPr>
        <w:t xml:space="preserve">Bộ trưởng Bộ Nội vụ ban hành Thông tư sửa đổi, </w:t>
      </w:r>
      <w:r>
        <w:rPr>
          <w:i/>
        </w:rPr>
        <w:t xml:space="preserve">bổ sung</w:t>
      </w:r>
      <w:r>
        <w:rPr>
          <w:i/>
        </w:rPr>
        <w:t xml:space="preserve">Điều 9 Thông tư số 13/2010/TT-BNV</w:t>
      </w:r>
      <w:r>
        <w:rPr>
          <w:i/>
        </w:rPr>
        <w:t xml:space="preserve">ngày</w:t>
      </w:r>
      <w:r>
        <w:rPr>
          <w:i/>
        </w:rPr>
        <w:t xml:space="preserve">30 tháng 12 năm 2010 của Bộ Nội vụ quy định chi tiết một số điều về tuyển dụng và nâng ngạch công chức của Nghị định số 24/2010/NĐ-CP ngày 15 tháng 3 năm 2010 của Chính phủ quy định</w:t>
      </w:r>
      <w:r>
        <w:rPr>
          <w:i/>
        </w:rPr>
        <w:t xml:space="preserve">về</w:t>
      </w:r>
      <w:r>
        <w:rPr>
          <w:i/>
        </w:rPr>
        <w:t xml:space="preserve">tuyển dụng, sử dụng và quản lý công chức (sau đây viết tắt là Thông tư số 13/2010/TT-BNV).</w:t>
      </w:r>
    </w:p>
    <w:p>
      <w:pPr>
        <w:pStyle w:val="Normal(Web)"/>
        <w:divId w:val="11"/>
        <w:rPr>
          <w:vanish w:val="0"/>
        </w:rPr>
      </w:pPr>
      <w:r>
        <w:rPr>
          <w:b/>
        </w:rPr>
        <w:t xml:space="preserve">Điều 1. Sửa đổi, bổ sung Điều 9 Thông tư số 13/2010/TT-BNV</w:t>
      </w:r>
    </w:p>
    <w:p>
      <w:pPr>
        <w:pStyle w:val="Normal(Web)"/>
        <w:divId w:val="12"/>
        <w:rPr>
          <w:vanish w:val="0"/>
        </w:rPr>
      </w:pPr>
      <w:r>
        <w:t xml:space="preserve">“Điều 9. Quyết định tuyển dụng và nhận việc</w:t>
      </w:r>
    </w:p>
    <w:p>
      <w:pPr>
        <w:pStyle w:val="Normal(Web)"/>
        <w:divId w:val="13"/>
        <w:rPr>
          <w:vanish w:val="0"/>
        </w:rPr>
      </w:pPr>
      <w:r>
        <w:t xml:space="preserve">1. Trong </w:t>
      </w:r>
      <w:r>
        <w:t xml:space="preserve">thời</w:t>
      </w:r>
      <w:r>
        <w:t xml:space="preserve"> hạn 15 ngày, kể từ ngày có quyết định phê duyệt kết quả tuyển dụng của cơ quan quản lý công chức, người đứng đầu cơ quan có thẩm quyền tuyển dụng công chức phải gửi thông báo công nhận kết quả trúng tuyển bằng văn bản tới người dự tuyển theo địa chỉ mà người dự tuyển đã đăng ký.</w:t>
      </w:r>
    </w:p>
    <w:p>
      <w:pPr>
        <w:pStyle w:val="Normal(Web)"/>
        <w:divId w:val="14"/>
        <w:rPr>
          <w:vanish w:val="0"/>
        </w:rPr>
      </w:pPr>
      <w:r>
        <w:t xml:space="preserve">2. Trong thời hạn 30 ngày, kể từ ngày nhận được thông báo công nhận kết quả trúng tuyển của cơ quan có </w:t>
      </w:r>
      <w:r>
        <w:t xml:space="preserve">thẩm quyền</w:t>
      </w:r>
      <w:r>
        <w:t xml:space="preserve"> tuyển dụng công chức, người trúng tuyển phải đến cơ quan có </w:t>
      </w:r>
      <w:r>
        <w:t xml:space="preserve">thẩm quyền</w:t>
      </w:r>
      <w:r>
        <w:t xml:space="preserve"> tuyển dụng công chức để hoàn thiện hồ sơ dự tuyển. Hồ sơ dự tuyển phải được bổ sung để hoàn thiện trước khi ký quyết định tuyển dụng, bao gồm:</w:t>
      </w:r>
    </w:p>
    <w:p>
      <w:pPr>
        <w:pStyle w:val="Normal(Web)"/>
        <w:divId w:val="15"/>
        <w:rPr>
          <w:vanish w:val="0"/>
        </w:rPr>
      </w:pPr>
      <w:r>
        <w:t xml:space="preserve">a) Bản sao các văn bằng, chứng chỉ và </w:t>
      </w:r>
      <w:r>
        <w:t xml:space="preserve">kết quả</w:t>
      </w:r>
      <w:r>
        <w:t xml:space="preserve"> học tập theo yêu cầu của vị trí dự tuyển, được cơ quan có </w:t>
      </w:r>
      <w:r>
        <w:t xml:space="preserve">thẩm quyền</w:t>
      </w:r>
      <w:r>
        <w:t xml:space="preserve"> chứng thực;</w:t>
      </w:r>
    </w:p>
    <w:p>
      <w:pPr>
        <w:pStyle w:val="Normal(Web)"/>
        <w:divId w:val="16"/>
        <w:rPr>
          <w:vanish w:val="0"/>
        </w:rPr>
      </w:pPr>
      <w:r>
        <w:t xml:space="preserve">b) Phiếu lý lịch tư pháp do Sở Tư pháp nơi thường trú cấp.</w:t>
      </w:r>
    </w:p>
    <w:p>
      <w:pPr>
        <w:pStyle w:val="Normal(Web)"/>
        <w:divId w:val="17"/>
        <w:rPr>
          <w:vanish w:val="0"/>
        </w:rPr>
      </w:pPr>
      <w:r>
        <w:t xml:space="preserve">3. Trường hợp người trúng tuyển có lý do chính đáng mà không thể đến hoàn thiện hồ sơ dự tuyển thì phải làm đơn xin gia hạn trước khi </w:t>
      </w:r>
      <w:r>
        <w:t xml:space="preserve">kết</w:t>
      </w:r>
      <w:r>
        <w:t xml:space="preserve"> thúc thời hạn hoàn thiện hồ sơ dự tuyển gửi cơ quan có thẩm quyền tuyển dụng công chức. Thời gian xin gia hạn không quá 15 ngày, kể từ ngày hết thời hạn hoàn thiện hồ sơ dự tuyển quy định tại khoản 2 Điều này.</w:t>
      </w:r>
    </w:p>
    <w:p>
      <w:pPr>
        <w:pStyle w:val="Normal(Web)"/>
        <w:divId w:val="18"/>
        <w:rPr>
          <w:vanish w:val="0"/>
        </w:rPr>
      </w:pPr>
      <w:r>
        <w:t xml:space="preserve">4. Sau khi nhận đủ hồ sơ dự tuyển của người trúng tuyển, người đứng đầu cơ quan có thẩm quyền tuyển dụng công chức có trách nhiệm thẩm tra, xác minh văn bằng, chứng chỉ của người trúng tuyển bảo đảm chính xác theo quy định </w:t>
      </w:r>
      <w:r>
        <w:t xml:space="preserve">của</w:t>
      </w:r>
      <w:r>
        <w:t xml:space="preserve"> pháp luật.</w:t>
      </w:r>
    </w:p>
    <w:p>
      <w:pPr>
        <w:pStyle w:val="Normal(Web)"/>
        <w:divId w:val="19"/>
        <w:rPr>
          <w:vanish w:val="0"/>
        </w:rPr>
      </w:pPr>
      <w:r>
        <w:t xml:space="preserve">5. Sau khi hoàn thành các thủ tục theo quy định tại khoản 2, khoản 3 và khoản 4 Điều này, trong thời hạn 15 ngày làm việc, người đứng đầu cơ quan có </w:t>
      </w:r>
      <w:r>
        <w:t xml:space="preserve">thẩm quyền</w:t>
      </w:r>
      <w:r>
        <w:t xml:space="preserve"> tuyển dụng công chức phải ra </w:t>
      </w:r>
      <w:r>
        <w:t xml:space="preserve">quyết</w:t>
      </w:r>
      <w:r>
        <w:t xml:space="preserve"> định tuyển dụng </w:t>
      </w:r>
      <w:r>
        <w:t xml:space="preserve">đối với</w:t>
      </w:r>
      <w:r>
        <w:t xml:space="preserve"> người trúng tuyển; </w:t>
      </w:r>
      <w:r>
        <w:t xml:space="preserve">trường hợp</w:t>
      </w:r>
      <w:r>
        <w:t xml:space="preserve"> người trúng tuyển không hoàn thiện đủ hồ sơ dự tuyển theo quy định hoặc cơ quan có </w:t>
      </w:r>
      <w:r>
        <w:t xml:space="preserve">thẩm quyền</w:t>
      </w:r>
      <w:r>
        <w:t xml:space="preserve"> tuyển dụng phát hiện người trúng tuyển sử dụng văn bằng, chứng chỉ không </w:t>
      </w:r>
      <w:r>
        <w:t xml:space="preserve">hợp pháp</w:t>
      </w:r>
      <w:r>
        <w:t xml:space="preserve"> thì người đứng đầu cơ quan có </w:t>
      </w:r>
      <w:r>
        <w:t xml:space="preserve">thẩm quyền</w:t>
      </w:r>
      <w:r>
        <w:t xml:space="preserve"> tuyển dụng công chức ra </w:t>
      </w:r>
      <w:r>
        <w:t xml:space="preserve">quyết</w:t>
      </w:r>
      <w:r>
        <w:t xml:space="preserve"> định hủy </w:t>
      </w:r>
      <w:r>
        <w:t xml:space="preserve">kết quả</w:t>
      </w:r>
      <w:r>
        <w:t xml:space="preserve"> trúng tuyển và có văn bản báo cáo người đứng đầu của cơ quan có </w:t>
      </w:r>
      <w:r>
        <w:t xml:space="preserve">thẩm quyền</w:t>
      </w:r>
      <w:r>
        <w:t xml:space="preserve"> quản lý công chức.</w:t>
      </w:r>
    </w:p>
    <w:p>
      <w:pPr>
        <w:pStyle w:val="Normal(Web)"/>
        <w:divId w:val="20"/>
        <w:rPr>
          <w:vanish w:val="0"/>
        </w:rPr>
      </w:pPr>
      <w:r>
        <w:t xml:space="preserve">6. Người được tuyển dụng vào công chức phải đến nhận việc trong thời hạn quy định tại khoản 2 Điều 18 Nghị định số </w:t>
      </w:r>
      <w:hyperlink r:id="rId5" w:history="1">
        <w:r>
          <w:rPr>
            <w:rStyle w:val="Hyperlink"/>
          </w:rPr>
          <w:t xml:space="preserve">24/2010/NĐ-CP </w:t>
        </w:r>
      </w:hyperlink>
      <w:r>
        <w:t xml:space="preserve">.</w:t>
      </w:r>
    </w:p>
    <w:p>
      <w:pPr>
        <w:pStyle w:val="Normal(Web)"/>
        <w:divId w:val="21"/>
        <w:rPr>
          <w:vanish w:val="0"/>
        </w:rPr>
      </w:pPr>
      <w:r>
        <w:t xml:space="preserve">7. Trường hợp</w:t>
      </w:r>
      <w:r>
        <w:t xml:space="preserve"> người trúng tuyển bị hủy bỏ kết quả trúng tuyển theo quy định tại Khoản 5 Điều này thì người đứng đầu cơ quan có thẩm quyền tuyển dụng công chức quyết định tuyển dụng người có kết quả tuyển dụng thấp hơn liền kề ở vị trí tuyển dụng đó, nếu người đó bảo đảm có đủ các điều kiện quy định tại </w:t>
      </w:r>
      <w:r>
        <w:t xml:space="preserve">điểm</w:t>
      </w:r>
      <w:r>
        <w:t xml:space="preserve"> a, </w:t>
      </w:r>
      <w:r>
        <w:t xml:space="preserve">điểm</w:t>
      </w:r>
      <w:r>
        <w:t xml:space="preserve">b khoản 1 Điều 11 Nghị định số 24/2010/NĐ-CP (trong tr</w:t>
      </w:r>
      <w:r>
        <w:t xml:space="preserve">ườ</w:t>
      </w:r>
      <w:r>
        <w:t xml:space="preserve">ng hợp tổ chức thi tuyển công chức) hoặc quy định tại điểm a khoản 1 Điều 14 Nghị định số 24/2010/NĐ-CP (trong trường hợp</w:t>
      </w:r>
      <w:r>
        <w:t xml:space="preserve">tổ chức</w:t>
      </w:r>
      <w:r>
        <w:t xml:space="preserve"> xét tuyển công chức).</w:t>
      </w:r>
    </w:p>
    <w:p>
      <w:pPr>
        <w:pStyle w:val="Normal(Web)"/>
        <w:divId w:val="22"/>
        <w:rPr>
          <w:vanish w:val="0"/>
        </w:rPr>
      </w:pPr>
      <w:r>
        <w:t xml:space="preserve">Trường hợp có từ 02 người trở lên có kết quả tuyển dụng thấp hơn liền kề bằng nhau thì người đứng đầu cơ quan có thẩm quyền tuyển dụng công chức quyết định người trúng tuyển theo quy định tại khoản 2 Điều 11 Nghị định số 24/2010/NĐ-CP (trong trường hợp tổ chức thi tuyển công chức) hoặc quy định tại khoản 2 Điều 14 Nghị định số 24/2010/NĐ-CP (trong trường hợp tổ chức xét tuyển công chức)</w:t>
      </w:r>
    </w:p>
    <w:p>
      <w:pPr>
        <w:pStyle w:val="Normal(Web)"/>
        <w:divId w:val="23"/>
        <w:rPr>
          <w:vanish w:val="0"/>
        </w:rPr>
      </w:pPr>
      <w:r>
        <w:rPr>
          <w:b/>
        </w:rPr>
        <w:t xml:space="preserve">Điều 2. Hiệu lực thi hành</w:t>
      </w:r>
    </w:p>
    <w:p>
      <w:pPr>
        <w:pStyle w:val="Normal(Web)"/>
        <w:divId w:val="24"/>
        <w:rPr>
          <w:vanish w:val="0"/>
        </w:rPr>
      </w:pPr>
      <w:r>
        <w:t xml:space="preserve">Thông tư này có hiệu lực kể từ ngày 01 tháng 5 năm 2015.</w:t>
      </w:r>
    </w:p>
    <w:p>
      <w:pPr>
        <w:pStyle w:val="Normal(Web)"/>
        <w:divId w:val="25"/>
        <w:rPr>
          <w:vanish w:val="0"/>
        </w:rPr>
      </w:pPr>
      <w:r>
        <w:t xml:space="preserve">Điều 3. Trách nhiệm tổ chức thực hiện</w:t>
      </w:r>
    </w:p>
    <w:p>
      <w:pPr>
        <w:pStyle w:val="Normal(Web)"/>
        <w:divId w:val="26"/>
        <w:rPr>
          <w:vanish w:val="0"/>
        </w:rPr>
      </w:pPr>
      <w:r>
        <w:t xml:space="preserve">Các Bộ trưởng, Thủ trưởng cơ quan ngang Bộ, Thủ trưởng cơ quan thuộc Chính phủ, Chủ tịch Ủy ban nhân dân tỉnh, </w:t>
      </w:r>
      <w:r>
        <w:t xml:space="preserve">thành phố</w:t>
      </w:r>
      <w:r>
        <w:t xml:space="preserve"> trực thuộc Trung ương và các cơ quan, </w:t>
      </w:r>
      <w:r>
        <w:t xml:space="preserve">tổ chức</w:t>
      </w:r>
      <w:r>
        <w:t xml:space="preserve">,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rPr>
                <w:b/>
                <w:i/>
              </w:rPr>
              <w:t xml:space="preserve">Nơi nhận:</w:t>
            </w:r>
            <w:r>
              <w:rPr>
                <w:b/>
                <w:i/>
              </w:rPr>
              <w:br/>
            </w:r>
            <w:r>
              <w:t xml:space="preserve">- Ban Bí thư Trung ương Đảng;</w:t>
            </w:r>
            <w:r>
              <w:rPr/>
              <w:br/>
            </w:r>
            <w:r>
              <w:t xml:space="preserve">- Thủ t</w:t>
            </w:r>
            <w:r>
              <w:t xml:space="preserve">ướ</w:t>
            </w:r>
            <w:r>
              <w:t xml:space="preserve">ng, các Phó Thủ t</w:t>
            </w:r>
            <w:r>
              <w:t xml:space="preserve">ướ</w:t>
            </w:r>
            <w:r>
              <w:t xml:space="preserve">ng Chính phủ;</w:t>
            </w:r>
            <w:r>
              <w:rPr/>
              <w:br/>
            </w:r>
            <w:r>
              <w:t xml:space="preserve">- Các Bộ, cơ quan ngang Bộ, cơ quan thuộc Chính phủ;</w:t>
            </w:r>
            <w:r>
              <w:rPr/>
              <w:br/>
            </w:r>
            <w:r>
              <w:t xml:space="preserve">- HĐND, UBND các tỉnh, </w:t>
            </w:r>
            <w:r>
              <w:t xml:space="preserve">thành phố</w:t>
            </w:r>
            <w:r>
              <w:t xml:space="preserve"> trực thuộc TW;</w:t>
            </w:r>
            <w:r>
              <w:rPr/>
              <w:br/>
            </w:r>
            <w:r>
              <w:t xml:space="preserve"> </w:t>
            </w:r>
            <w:r>
              <w:t xml:space="preserve">- Văn</w:t>
            </w:r>
            <w:r>
              <w:t xml:space="preserve"> phòng Trung ương và các Ban của Đảng;</w:t>
            </w:r>
            <w:r>
              <w:rPr/>
              <w:br/>
            </w:r>
            <w:r>
              <w:t xml:space="preserve">- Văn phòng Quốc hội;</w:t>
            </w:r>
            <w:r>
              <w:rPr/>
              <w:br/>
            </w:r>
            <w:r>
              <w:t xml:space="preserve"> </w:t>
            </w:r>
            <w:r>
              <w:t xml:space="preserve">- Văn</w:t>
            </w:r>
            <w:r>
              <w:t xml:space="preserve"> phòng </w:t>
            </w:r>
            <w:r>
              <w:t xml:space="preserve">Chủ</w:t>
            </w:r>
            <w:r>
              <w:t xml:space="preserve">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w:t>
            </w:r>
            <w:r>
              <w:t xml:space="preserve">- Ủy</w:t>
            </w:r>
            <w:r>
              <w:t xml:space="preserve"> ban Giám sát tài chính Quốc gia;</w:t>
            </w:r>
            <w:r>
              <w:rPr/>
              <w:br/>
            </w:r>
            <w:r>
              <w:t xml:space="preserve"> </w:t>
            </w:r>
            <w:r>
              <w:t xml:space="preserve">- Ủy</w:t>
            </w:r>
            <w:r>
              <w:t xml:space="preserve"> ban TW Mặt trận Tổ quốc Việt Nam;</w:t>
            </w:r>
            <w:r>
              <w:rPr/>
              <w:br/>
            </w:r>
            <w:r>
              <w:t xml:space="preserve">- Cơ quan Trung </w:t>
            </w:r>
            <w:r>
              <w:t xml:space="preserve">ươ</w:t>
            </w:r>
            <w:r>
              <w:t xml:space="preserve">ng của các đoàn thể;</w:t>
            </w:r>
            <w:r>
              <w:rPr/>
              <w:br/>
            </w:r>
            <w:r>
              <w:t xml:space="preserve">- Cục Kiểm tra văn bản QPPL (Bộ Tư pháp);</w:t>
            </w:r>
            <w:r>
              <w:rPr/>
              <w:br/>
            </w:r>
            <w:r>
              <w:t xml:space="preserve">- Sở Nội vụ các tỉnh, thành phố trực thuộc TW;</w:t>
            </w:r>
            <w:r>
              <w:rPr/>
              <w:br/>
            </w:r>
            <w:r>
              <w:t xml:space="preserve">- Công báo, Website Chính phủ;</w:t>
            </w:r>
            <w:r>
              <w:rPr/>
              <w:br/>
            </w:r>
            <w:r>
              <w:t xml:space="preserve">- Bộ Nội vụ: Bộ trưởng, các Thứ trưởng và các Vụ, Cục, tổ chức thuộc Bộ;</w:t>
            </w:r>
            <w:r>
              <w:rPr/>
              <w:br/>
            </w:r>
            <w:r>
              <w:t xml:space="preserve">- Trang thông tin điện tử Bộ Nội vụ;</w:t>
            </w:r>
            <w:r>
              <w:rPr/>
              <w:br/>
            </w:r>
            <w:r>
              <w:t xml:space="preserve">- Lưu: VT, CCVC (10).</w:t>
            </w:r>
          </w:p>
        </w:tc>
        <w:tc>
          <w:tcPr>
            <w:tcW w:w="0" w:type="auto"/>
            <w:shd w:val="clear" w:color="auto" w:fill="auto"/>
            <w:vAlign w:val="center"/>
          </w:tcPr>
          <w:p>
            <w:pPr>
              <w:pStyle w:val="Normal(Web)"/>
              <w:divId w:val="28"/>
              <w:jc w:val="center"/>
              <w:rPr>
                <w:vanish w:val="0"/>
              </w:rPr>
            </w:pPr>
            <w:r>
              <w:rPr>
                <w:b/>
              </w:rPr>
              <w:t xml:space="preserve">KT. BỘ TRƯỞNG</w:t>
            </w:r>
            <w:r>
              <w:rPr>
                <w:b/>
              </w:rPr>
              <w:br/>
            </w:r>
            <w:r>
              <w:rPr>
                <w:b/>
              </w:rPr>
              <w:t xml:space="preserve">THỨ TRƯỞNG</w:t>
            </w:r>
          </w:p>
          <w:p>
            <w:pPr>
              <w:pStyle w:val="Normal(Web)"/>
              <w:divId w:val="29"/>
              <w:jc w:val="center"/>
              <w:rPr>
                <w:vanish w:val="0"/>
              </w:rPr>
            </w:pPr>
            <w:r>
              <w:rPr>
                <w:b/>
              </w:rPr>
              <w:br/>
            </w:r>
            <w:r>
              <w:rPr>
                <w:b/>
              </w:rPr>
              <w:t xml:space="preserve">Trần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2015-tt-bnv.aspx" TargetMode="External" /><Relationship Id="rId4" Type="http://schemas.openxmlformats.org/officeDocument/2006/relationships/hyperlink" Target="/thong-tu-13-2010-tt-bnv-huong-dan-tuyen-dung-nang-ngach-cong-chuc.aspx" TargetMode="External" /><Relationship Id="rId5" Type="http://schemas.openxmlformats.org/officeDocument/2006/relationships/hyperlink" Target="/nghi-dinh-24-2010-nd-cp-quy-dinh-ve-tuyen-dung--su-dung-va-quan-ly-cong-chu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2022-06-22T01:21:13Z</dcterms:created>
  <dcterms:modified xsi:type="dcterms:W3CDTF">2022-06-22T01:21:13Z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2022-06-22T01:21:13Z</dcterms:created>
  <dcterms:modified xsi:type="dcterms:W3CDTF">2022-06-22T01:21:13Z</dcterms:modified>
</cp:coreProperties>
</file>