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21" o:spid="_x0000_i1722" type="#_x0000_t75" style="height:189.75pt;width:252.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CHÍNH </w:t>
      </w:r>
      <w:r>
        <w:rPr>
          <w:b/>
        </w:rPr>
        <w:t xml:space="preserve">SỐ </w:t>
      </w:r>
      <w:hyperlink r:id="rId8" w:history="1">
        <w:r>
          <w:rPr>
            <w:rStyle w:val="Hyperlink"/>
            <w:b/>
          </w:rPr>
          <w:t xml:space="preserve">157/2009/TT-BTC </w:t>
        </w:r>
        <w:r>
          <w:rPr>
            <w:b/>
          </w:rPr>
          <w:t xml:space="preserve"> NGÀY 06 THÁNG 08 NĂM 2009</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THÔNG TƯ SỐ </w:t>
      </w:r>
      <w:hyperlink r:id="rId9" w:history="1">
        <w:r>
          <w:rPr>
            <w:rStyle w:val="Hyperlink"/>
            <w:b/>
          </w:rPr>
          <w:t xml:space="preserve">60/2007/TT-BTC </w:t>
        </w:r>
        <w:r>
          <w:rPr>
            <w:b/>
          </w:rPr>
          <w:t xml:space="preserve"> NGÀY 14/6/2007 CỦA BỘ TÀI CHÍNH HƯỚNG DẪN THI HÀNH MỘT SỐ ĐIỀU CỦA LUẬT QUẢN LÝ THUẾ VÀ HƯỚNG DẪN THI HÀNH NGHỊ ĐỊNH SỐ 85/2007/NĐ-CP NGÀY 25/5/2007 CỦA CHÍNH PHỦ QUY ĐỊNH CHI TIẾT THI HÀNH MỘT SỐ ĐIỀU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Quản lý thuế số </w:t>
      </w:r>
      <w:hyperlink r:id="rId10" w:history="1">
        <w:r>
          <w:rPr>
            <w:rStyle w:val="Hyperlink"/>
          </w:rPr>
          <w:t xml:space="preserve">78/2006/QH11 </w:t>
        </w:r>
        <w:r>
          <w:t xml:space="preserve"> ngày 29 tháng 11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thuế thu nhập cá nhân số </w:t>
      </w:r>
      <w:hyperlink r:id="rId11" w:history="1">
        <w:r>
          <w:rPr>
            <w:rStyle w:val="Hyperlink"/>
          </w:rPr>
          <w:t xml:space="preserve">04/2007/QH12 </w:t>
        </w:r>
        <w:r>
          <w:t xml:space="preserve"> ngày 21 tháng 11 năm 2007;</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thuế giá trị gia tăng số 13/2008/QH12 ngày 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2" w:history="1">
        <w:r>
          <w:rPr>
            <w:rStyle w:val="Hyperlink"/>
          </w:rPr>
          <w:t xml:space="preserve">85/2007/NĐ-CP </w:t>
        </w:r>
        <w:r>
          <w:t xml:space="preserve"> ngày 25/5/2007 của Chính phủ quy định chi tiết thi hành một số điều của Luật Quản lý thuế;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3" w:history="1">
        <w:r>
          <w:rPr>
            <w:rStyle w:val="Hyperlink"/>
          </w:rPr>
          <w:t xml:space="preserve">118/2008/NĐ-CP </w:t>
        </w:r>
        <w:r>
          <w:t xml:space="preserve"> ngày 27/11/2008 của Chính phủ Quy định chức năng, nhiệm vụ, quyền hạn và cơ cấu tổ chức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sửa đổi, bổ sung một số nội dung tại Thông tư số 60/2007/TT-BTC ngày 14 tháng 6 năm 2007 của Bộ Tài chính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Sửa đổi, bổ sung kinh phí ủy nhiệm thu tại đoạn 2 Mục IV Phần D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tình hình cụ thể của từng địa phương, Thủ trưởng cơ quan thuế sẽ quyết định kinh phí ủy nhiệm thu phù hợp nhưng tối đa không được vượt quá 8% tổng số thuế do bên được ủy nhiệm đã thu đối với thuế sử dụng đất nông nghiệp, thuế nhà đất, thuế nộp theo phương pháp khoán (bao gồm cả thuế giá trị gia tăng, thuế thu nhập cá nhân của hộ kinh doanh, cá nhân kinh doanh); tối đa không vượt quá 1% số thuế thu được đối với thuế thu nhập cá nhân (không bao gồm thuế thu nhập cá nhân của hộ kinh doanh, cá nhân kinh doanh nộp theo phương pháp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Thông tư này có hiệu lực thi hành sau 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đơn vị phản ánh về Bộ Tài chính để hướng dẫn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Đỗ Hoàng Anh Tuấn</w:t>
      </w: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quan-ly-thue-so-78-2006-qh11.aspx" TargetMode="External" /><Relationship Id="rId11" Type="http://schemas.openxmlformats.org/officeDocument/2006/relationships/hyperlink" Target="/luat-thue-thu-nhap-ca-nhan-so-04-2007-qh12.aspx" TargetMode="External" /><Relationship Id="rId12" Type="http://schemas.openxmlformats.org/officeDocument/2006/relationships/hyperlink" Target="/nghi-dinh-85-2007-nd-cp-ve-viec-quy-dinh-chi-tiet-thi-hanh-mot-so-dieu-cua-luat-quan-ly-thue.aspx" TargetMode="External" /><Relationship Id="rId13" Type="http://schemas.openxmlformats.org/officeDocument/2006/relationships/hyperlink" Target="/nghi-dinh-so-118-2008-nd-cp-cua-chinh-phu---quy-dinh-chuc-nang--nhiem-vu--quyen-han-va-co-cau-to-chuc-cua-bo-tai-chinh.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thong-tu-157-2009-tt-btc-quy-dinh-chi-tiet-luat-quan-ly-thue.aspx" TargetMode="External" /><Relationship Id="rId9" Type="http://schemas.openxmlformats.org/officeDocument/2006/relationships/hyperlink" Target="/thong-tu-so-60-2007-tt-btc-huong-dan-thi-hanh-mot-so-dieu-cua-luat-quan-ly-thu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2022-06-22T13:58:28Z</dcterms:created>
  <dcterms:modified xsi:type="dcterms:W3CDTF">2022-06-22T13:58:28Z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2022-06-22T13:58:28Z</dcterms:created>
  <dcterms:modified xsi:type="dcterms:W3CDTF">2022-06-22T13:58:28Z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2022-06-22T13:58:28Z</dcterms:created>
  <dcterms:modified xsi:type="dcterms:W3CDTF">2022-06-22T13:58:28Z</dcterms:modified>
</cp:coreProperties>
</file>