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166/2014/TT-BTC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14 tháng 11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BIỂU THUẾ NHẬP KHẨU ƯU ĐÃI ĐẶC BIỆT CỦA VIỆT NAM ĐỂ THỰC HIỆN HIỆP ĐỊNH THƯƠNG MẠI HÀNG HÓA ASEAN - TRUNG QUỐC GIAI ĐOẠN 2015-2018</w:t>
      </w:r>
    </w:p>
    <w:p>
      <w:pPr>
        <w:pStyle w:val="Normal(Web)"/>
        <w:divId w:val="7"/>
        <w:rPr>
          <w:vanish w:val="0"/>
        </w:rPr>
      </w:pPr>
      <w:r>
        <w:rPr>
          <w:i/>
        </w:rPr>
        <w:t xml:space="preserve">Căn cứ Luật Thuế xuất khẩu, Thuế nhập khẩu số 45/2005/QH11 ngày 14 tháng 6</w:t>
      </w:r>
      <w:r>
        <w:rPr>
          <w:i/>
        </w:rPr>
        <w:t xml:space="preserve">năm</w:t>
      </w:r>
      <w:r>
        <w:rPr>
          <w:i/>
        </w:rPr>
        <w:t xml:space="preserve"> 2005;</w:t>
      </w:r>
    </w:p>
    <w:p>
      <w:pPr>
        <w:pStyle w:val="Normal(Web)"/>
        <w:divId w:val="8"/>
        <w:rPr>
          <w:vanish w:val="0"/>
        </w:rPr>
      </w:pPr>
      <w:r>
        <w:rPr>
          <w:i/>
        </w:rPr>
        <w:t xml:space="preserve">Căn cứ </w:t>
      </w:r>
      <w:r>
        <w:rPr>
          <w:i/>
        </w:rPr>
        <w:t xml:space="preserve">Nghị định số</w:t>
      </w:r>
      <w:r>
        <w:rPr>
          <w:i/>
        </w:rPr>
        <w:t xml:space="preserve"> 87/2010/NĐ-CP ngày 13 tháng 08 năm 2010 của Chính phủ quy định chi tiết một số điều của Luật Thuế xuất khẩu, Thuế nhập khẩu;</w:t>
      </w:r>
    </w:p>
    <w:p>
      <w:pPr>
        <w:pStyle w:val="Normal(Web)"/>
        <w:divId w:val="9"/>
        <w:rPr>
          <w:vanish w:val="0"/>
        </w:rPr>
      </w:pPr>
      <w:r>
        <w:rPr>
          <w:i/>
        </w:rPr>
        <w:t xml:space="preserve">Căn cứ </w:t>
      </w:r>
      <w:r>
        <w:rPr>
          <w:i/>
        </w:rPr>
        <w:t xml:space="preserve">Nghị định số</w:t>
      </w:r>
      <w:r>
        <w:rPr>
          <w:i/>
        </w:rPr>
        <w:t xml:space="preserve"> 215/2013/NĐ-CP ngày 23 tháng 12 năm 2013 của Chính phủ quy định chức năng, nhiệm vụ, quyền hạn và</w:t>
      </w:r>
      <w:r>
        <w:rPr>
          <w:i/>
        </w:rPr>
        <w:t xml:space="preserve">cơ cấu</w:t>
      </w:r>
      <w:r>
        <w:rPr>
          <w:i/>
        </w:rPr>
        <w:t xml:space="preserve">tổ chức</w:t>
      </w:r>
      <w:r>
        <w:rPr>
          <w:i/>
        </w:rPr>
        <w:t xml:space="preserve"> của Bộ </w:t>
      </w:r>
      <w:r>
        <w:rPr>
          <w:i/>
        </w:rPr>
        <w:t xml:space="preserve">Tài chính</w:t>
      </w:r>
      <w:r>
        <w:rPr>
          <w:i/>
        </w:rPr>
        <w:t xml:space="preserve">;</w:t>
      </w:r>
    </w:p>
    <w:p>
      <w:pPr>
        <w:pStyle w:val="Normal(Web)"/>
        <w:divId w:val="10"/>
        <w:rPr>
          <w:vanish w:val="0"/>
        </w:rPr>
      </w:pPr>
      <w:r>
        <w:rPr>
          <w:i/>
        </w:rPr>
        <w:t xml:space="preserve">Căn cứ Hiệp định khung về Hợp tác </w:t>
      </w:r>
      <w:r>
        <w:rPr>
          <w:i/>
        </w:rPr>
        <w:t xml:space="preserve">Kinh</w:t>
      </w:r>
      <w:r>
        <w:rPr>
          <w:i/>
        </w:rPr>
        <w:t xml:space="preserve">tế Toàn diện giữa các nước thành viên Hiệp hội các quốc gia Đông Nam Á (ASEAN) và nước Cộng hòa Nhân dân Trung Hoa (Trung Quốc), ký ngày 04 tháng 11 năm 2002 tại Cam-pu-chia, được Chủ tịch nước Cộng hòa xã hội chủ nghĩa Việt Nam phê chuẩn tại Quyết định 890/2003/QĐ /CTN ngày 26 tháng 11 năm 2003;</w:t>
      </w:r>
    </w:p>
    <w:p>
      <w:pPr>
        <w:pStyle w:val="Normal(Web)"/>
        <w:divId w:val="11"/>
        <w:rPr>
          <w:vanish w:val="0"/>
        </w:rPr>
      </w:pPr>
      <w:r>
        <w:rPr>
          <w:i/>
        </w:rPr>
        <w:t xml:space="preserve">Căn cứ Hiệp định Thương mại Hàng hóa thuộc Hiệp định Khung về Hợp tác </w:t>
      </w:r>
      <w:r>
        <w:rPr>
          <w:i/>
        </w:rPr>
        <w:t xml:space="preserve">Kinh</w:t>
      </w:r>
      <w:r>
        <w:rPr>
          <w:i/>
        </w:rPr>
        <w:t xml:space="preserve"> tế Toàn diện ASEAN - Trung Quốc, ký ngày 29 </w:t>
      </w:r>
      <w:r>
        <w:rPr>
          <w:i/>
        </w:rPr>
        <w:t xml:space="preserve">tháng</w:t>
      </w:r>
      <w:r>
        <w:rPr>
          <w:i/>
        </w:rPr>
        <w:t xml:space="preserve"> 11 năm 2004 tại Lào và Biên bản ghi nhớ giữa Việt Nam và Trung Quốc về một số vấn đề trong Hiệp định Thương mại Hàng hóa ASEAN - Trung Quốc, ký ngày 18 tháng 7 năm 2005 tại Trung Quốc, đã được Thủ tướng Chính phủ nước Cộng hòa xã hội chủ nghĩa Việt Nam phê duyệt tại </w:t>
      </w:r>
      <w:r>
        <w:rPr>
          <w:i/>
        </w:rPr>
        <w:t xml:space="preserve">Quyết định số</w:t>
      </w:r>
      <w:r>
        <w:rPr>
          <w:i/>
        </w:rPr>
        <w:t xml:space="preserve"> 257/2005/QĐ-TTg ngày 19 tháng 10 năm 2005;</w:t>
      </w:r>
    </w:p>
    <w:p>
      <w:pPr>
        <w:pStyle w:val="Normal(Web)"/>
        <w:divId w:val="12"/>
        <w:rPr>
          <w:vanish w:val="0"/>
        </w:rPr>
      </w:pPr>
      <w:r>
        <w:rPr>
          <w:i/>
        </w:rPr>
        <w:t xml:space="preserve">Theo đề nghị của Vụ trưởng Vụ Hợp tác Quốc tế;</w:t>
      </w:r>
    </w:p>
    <w:p>
      <w:pPr>
        <w:pStyle w:val="Normal(Web)"/>
        <w:divId w:val="13"/>
        <w:rPr>
          <w:vanish w:val="0"/>
        </w:rPr>
      </w:pPr>
      <w:r>
        <w:rPr>
          <w:i/>
        </w:rPr>
        <w:t xml:space="preserve">Bộ trưởng Bộ </w:t>
      </w:r>
      <w:r>
        <w:rPr>
          <w:i/>
        </w:rPr>
        <w:t xml:space="preserve">Tài chính</w:t>
      </w:r>
      <w:r>
        <w:rPr>
          <w:i/>
        </w:rPr>
        <w:t xml:space="preserve"> ban hành Thông tư ban hành Biểu thuế nhập khẩu ưu đãi đặc biệt của Việt Nam để thực hiện Hiệp định Thương mại hàng hóa ASEAN - Trung Quốc giai đoạn 2015 - 2018.</w:t>
      </w:r>
    </w:p>
    <w:p>
      <w:pPr>
        <w:pStyle w:val="Normal(Web)"/>
        <w:divId w:val="14"/>
        <w:rPr>
          <w:vanish w:val="0"/>
        </w:rPr>
      </w:pPr>
      <w:r>
        <w:rPr>
          <w:b/>
        </w:rPr>
        <w:t xml:space="preserve">Điều 1.</w:t>
      </w:r>
      <w:r>
        <w:t xml:space="preserve"> Ban hành kèm theo Thông tư này Biểu thuế nhập khẩu ưu đãi đặc biệt của Việt Nam để thực hiện Hiệp định Thương mại Hàng hóa ASEAN - Trung Quốc giai đoạn 2015-2018 (thuế suất ưu đãi đặc biệt áp dụng sau đây gọi là thuế suất ACFTA).</w:t>
      </w:r>
    </w:p>
    <w:p>
      <w:pPr>
        <w:pStyle w:val="Normal(Web)"/>
        <w:divId w:val="15"/>
        <w:rPr>
          <w:vanish w:val="0"/>
        </w:rPr>
      </w:pPr>
      <w:r>
        <w:t xml:space="preserve">1. Cột “Mã hàng” và cột “Mô tả hàng hóa” được xây dựng trên cơ sở Danh mục Biểu thuế quan hài hòa ASEAN 2012 (AHTN 2012) và phân loại theo cấp mã 8 số hoặc 10 số.</w:t>
      </w:r>
    </w:p>
    <w:p>
      <w:pPr>
        <w:pStyle w:val="Normal(Web)"/>
        <w:divId w:val="16"/>
        <w:rPr>
          <w:vanish w:val="0"/>
        </w:rPr>
      </w:pPr>
      <w:r>
        <w:t xml:space="preserve">2. Cột “Thuế suất ACFTA (%)”: mức thuế suất áp dụng cho từng năm, được áp dụng từ ngày 01 tháng 01 đến ngày 31 tháng 12 của năm, bắt đầu từ năm 2015 cho đến hết năm 2018.</w:t>
      </w:r>
    </w:p>
    <w:p>
      <w:pPr>
        <w:pStyle w:val="Normal(Web)"/>
        <w:divId w:val="17"/>
        <w:rPr>
          <w:vanish w:val="0"/>
        </w:rPr>
      </w:pPr>
      <w:r>
        <w:t xml:space="preserve">3. Ký hiệu “*”: hàng hóa nhập khẩu không được hưởng thuế suất ưu đãi đặc biệt ACFTA tại thời điểm tương ứng.</w:t>
      </w:r>
    </w:p>
    <w:p>
      <w:pPr>
        <w:pStyle w:val="Normal(Web)"/>
        <w:divId w:val="18"/>
        <w:rPr>
          <w:vanish w:val="0"/>
        </w:rPr>
      </w:pPr>
      <w:r>
        <w:t xml:space="preserve">4. Cột “Nước không được hưởng ưu đãi”: những mặt hàng nhập khẩu từ nước có thể hiện ký hiệu tên nước (được quy định tại điểm (2) Điều 2 Thông tư này) không được áp dụng thuế suất ACFTA quy định tại Thông tư này.</w:t>
      </w:r>
    </w:p>
    <w:p>
      <w:pPr>
        <w:pStyle w:val="Normal(Web)"/>
        <w:divId w:val="19"/>
        <w:rPr>
          <w:vanish w:val="0"/>
        </w:rPr>
      </w:pPr>
      <w:r>
        <w:rPr>
          <w:b/>
        </w:rPr>
        <w:t xml:space="preserve">Điều 2.</w:t>
      </w:r>
      <w:r>
        <w:t xml:space="preserve"> Điều kiện để hàng hóa nhập khẩu được áp dụng thuế suất ACFTA</w:t>
      </w:r>
    </w:p>
    <w:p>
      <w:pPr>
        <w:pStyle w:val="Normal(Web)"/>
        <w:divId w:val="20"/>
        <w:rPr>
          <w:vanish w:val="0"/>
        </w:rPr>
      </w:pPr>
      <w:r>
        <w:t xml:space="preserve">Hàng hóa nhập khẩu để được áp dụng thuế suất thuế ACFTA phải đáp ứng đủ các điều kiện sau:</w:t>
      </w:r>
    </w:p>
    <w:p>
      <w:pPr>
        <w:pStyle w:val="Normal(Web)"/>
        <w:divId w:val="21"/>
        <w:rPr>
          <w:vanish w:val="0"/>
        </w:rPr>
      </w:pPr>
      <w:r>
        <w:t xml:space="preserve">1. Thuộc Biểu thuế nhập khẩu ưu đãi đặc biệt ban hành kèm theo Thông tư này.</w:t>
      </w:r>
    </w:p>
    <w:p>
      <w:pPr>
        <w:pStyle w:val="Normal(Web)"/>
        <w:divId w:val="22"/>
        <w:rPr>
          <w:vanish w:val="0"/>
        </w:rPr>
      </w:pPr>
      <w:r>
        <w:t xml:space="preserve">2. Được nhập khẩu vào Việt Nam từ các n</w:t>
      </w:r>
      <w:r>
        <w:t xml:space="preserve">ướ</w:t>
      </w:r>
      <w:r>
        <w:t xml:space="preserve">c là thành viên của Hiệp định Thương mại hàng hóa ASEAN - Trung Quốc, bao gồm các nước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jc w:val="center"/>
              <w:rPr>
                <w:vanish w:val="0"/>
              </w:rPr>
            </w:pPr>
            <w:r>
              <w:rPr>
                <w:i/>
              </w:rPr>
              <w:t xml:space="preserve">Tên nước</w:t>
            </w:r>
          </w:p>
        </w:tc>
        <w:tc>
          <w:tcPr>
            <w:tcW w:w="0" w:type="auto"/>
            <w:shd w:val="clear" w:color="auto" w:fill="auto"/>
            <w:vAlign w:val="center"/>
          </w:tcPr>
          <w:p>
            <w:pPr>
              <w:pStyle w:val="Normal(Web)"/>
              <w:divId w:val="24"/>
              <w:jc w:val="center"/>
              <w:rPr>
                <w:vanish w:val="0"/>
              </w:rPr>
            </w:pPr>
            <w:r>
              <w:rPr>
                <w:i/>
              </w:rPr>
              <w:t xml:space="preserve">Ký hiệu tên nước</w:t>
            </w:r>
          </w:p>
        </w:tc>
      </w:tr>
      <w:tr>
        <w:trPr>
          <w:jc w:val="left"/>
        </w:trPr>
        <w:tc>
          <w:tcPr>
            <w:tcW w:w="0" w:type="auto"/>
            <w:shd w:val="clear" w:color="auto" w:fill="auto"/>
            <w:vAlign w:val="center"/>
          </w:tcPr>
          <w:p>
            <w:pPr>
              <w:pStyle w:val="Normal(Web)"/>
              <w:divId w:val="25"/>
              <w:rPr>
                <w:vanish w:val="0"/>
              </w:rPr>
            </w:pPr>
            <w:r>
              <w:t xml:space="preserve">Bru-nây Đa-ru-sa-lam</w:t>
            </w:r>
          </w:p>
        </w:tc>
        <w:tc>
          <w:tcPr>
            <w:tcW w:w="0" w:type="auto"/>
            <w:shd w:val="clear" w:color="auto" w:fill="auto"/>
            <w:vAlign w:val="center"/>
          </w:tcPr>
          <w:p>
            <w:pPr>
              <w:pStyle w:val="Normal(Web)"/>
              <w:divId w:val="26"/>
              <w:jc w:val="center"/>
              <w:rPr>
                <w:vanish w:val="0"/>
              </w:rPr>
            </w:pPr>
            <w:r>
              <w:t xml:space="preserve">BN</w:t>
            </w:r>
          </w:p>
        </w:tc>
      </w:tr>
      <w:tr>
        <w:trPr>
          <w:jc w:val="left"/>
        </w:trPr>
        <w:tc>
          <w:tcPr>
            <w:tcW w:w="0" w:type="auto"/>
            <w:shd w:val="clear" w:color="auto" w:fill="auto"/>
            <w:vAlign w:val="center"/>
          </w:tcPr>
          <w:p>
            <w:pPr>
              <w:pStyle w:val="Normal(Web)"/>
              <w:divId w:val="27"/>
              <w:rPr>
                <w:vanish w:val="0"/>
              </w:rPr>
            </w:pPr>
            <w:r>
              <w:t xml:space="preserve">Vương </w:t>
            </w:r>
            <w:r>
              <w:t xml:space="preserve">quốc</w:t>
            </w:r>
            <w:r>
              <w:t xml:space="preserve"> Cam-pu-chia</w:t>
            </w:r>
          </w:p>
        </w:tc>
        <w:tc>
          <w:tcPr>
            <w:tcW w:w="0" w:type="auto"/>
            <w:shd w:val="clear" w:color="auto" w:fill="auto"/>
            <w:vAlign w:val="center"/>
          </w:tcPr>
          <w:p>
            <w:pPr>
              <w:pStyle w:val="Normal(Web)"/>
              <w:divId w:val="28"/>
              <w:jc w:val="center"/>
              <w:rPr>
                <w:vanish w:val="0"/>
              </w:rPr>
            </w:pPr>
            <w:r>
              <w:t xml:space="preserve">KH</w:t>
            </w:r>
          </w:p>
        </w:tc>
      </w:tr>
      <w:tr>
        <w:trPr>
          <w:jc w:val="left"/>
        </w:trPr>
        <w:tc>
          <w:tcPr>
            <w:tcW w:w="0" w:type="auto"/>
            <w:shd w:val="clear" w:color="auto" w:fill="auto"/>
            <w:vAlign w:val="center"/>
          </w:tcPr>
          <w:p>
            <w:pPr>
              <w:pStyle w:val="Normal(Web)"/>
              <w:divId w:val="29"/>
              <w:rPr>
                <w:vanish w:val="0"/>
              </w:rPr>
            </w:pPr>
            <w:r>
              <w:t xml:space="preserve">Cộng hòa In-đô-nê-xi-a</w:t>
            </w:r>
          </w:p>
        </w:tc>
        <w:tc>
          <w:tcPr>
            <w:tcW w:w="0" w:type="auto"/>
            <w:shd w:val="clear" w:color="auto" w:fill="auto"/>
            <w:vAlign w:val="center"/>
          </w:tcPr>
          <w:p>
            <w:pPr>
              <w:pStyle w:val="Normal(Web)"/>
              <w:divId w:val="30"/>
              <w:jc w:val="center"/>
              <w:rPr>
                <w:vanish w:val="0"/>
              </w:rPr>
            </w:pPr>
            <w:r>
              <w:t xml:space="preserve">ID</w:t>
            </w:r>
          </w:p>
        </w:tc>
      </w:tr>
      <w:tr>
        <w:trPr>
          <w:jc w:val="left"/>
        </w:trPr>
        <w:tc>
          <w:tcPr>
            <w:tcW w:w="0" w:type="auto"/>
            <w:shd w:val="clear" w:color="auto" w:fill="auto"/>
            <w:vAlign w:val="center"/>
          </w:tcPr>
          <w:p>
            <w:pPr>
              <w:pStyle w:val="Normal(Web)"/>
              <w:divId w:val="31"/>
              <w:rPr>
                <w:vanish w:val="0"/>
              </w:rPr>
            </w:pPr>
            <w:r>
              <w:t xml:space="preserve">Cộng hòa dân chủ nhân dân Lào</w:t>
            </w:r>
          </w:p>
        </w:tc>
        <w:tc>
          <w:tcPr>
            <w:tcW w:w="0" w:type="auto"/>
            <w:shd w:val="clear" w:color="auto" w:fill="auto"/>
            <w:vAlign w:val="center"/>
          </w:tcPr>
          <w:p>
            <w:pPr>
              <w:pStyle w:val="Normal(Web)"/>
              <w:divId w:val="32"/>
              <w:jc w:val="center"/>
              <w:rPr>
                <w:vanish w:val="0"/>
              </w:rPr>
            </w:pPr>
            <w:r>
              <w:t xml:space="preserve">LA</w:t>
            </w:r>
          </w:p>
        </w:tc>
      </w:tr>
      <w:tr>
        <w:trPr>
          <w:jc w:val="left"/>
        </w:trPr>
        <w:tc>
          <w:tcPr>
            <w:tcW w:w="0" w:type="auto"/>
            <w:shd w:val="clear" w:color="auto" w:fill="auto"/>
            <w:vAlign w:val="center"/>
          </w:tcPr>
          <w:p>
            <w:pPr>
              <w:pStyle w:val="Normal(Web)"/>
              <w:divId w:val="33"/>
              <w:rPr>
                <w:vanish w:val="0"/>
              </w:rPr>
            </w:pPr>
            <w:r>
              <w:t xml:space="preserve">Ma-lai-xi-a</w:t>
            </w:r>
          </w:p>
        </w:tc>
        <w:tc>
          <w:tcPr>
            <w:tcW w:w="0" w:type="auto"/>
            <w:shd w:val="clear" w:color="auto" w:fill="auto"/>
            <w:vAlign w:val="center"/>
          </w:tcPr>
          <w:p>
            <w:pPr>
              <w:pStyle w:val="Normal(Web)"/>
              <w:divId w:val="34"/>
              <w:jc w:val="center"/>
              <w:rPr>
                <w:vanish w:val="0"/>
              </w:rPr>
            </w:pPr>
            <w:r>
              <w:t xml:space="preserve">MY</w:t>
            </w:r>
          </w:p>
        </w:tc>
      </w:tr>
      <w:tr>
        <w:trPr>
          <w:jc w:val="left"/>
        </w:trPr>
        <w:tc>
          <w:tcPr>
            <w:tcW w:w="0" w:type="auto"/>
            <w:shd w:val="clear" w:color="auto" w:fill="auto"/>
            <w:vAlign w:val="center"/>
          </w:tcPr>
          <w:p>
            <w:pPr>
              <w:pStyle w:val="Normal(Web)"/>
              <w:divId w:val="35"/>
              <w:rPr>
                <w:vanish w:val="0"/>
              </w:rPr>
            </w:pPr>
            <w:r>
              <w:t xml:space="preserve">Liên bang Mi-an-ma</w:t>
            </w:r>
          </w:p>
        </w:tc>
        <w:tc>
          <w:tcPr>
            <w:tcW w:w="0" w:type="auto"/>
            <w:shd w:val="clear" w:color="auto" w:fill="auto"/>
            <w:vAlign w:val="center"/>
          </w:tcPr>
          <w:p>
            <w:pPr>
              <w:pStyle w:val="Normal(Web)"/>
              <w:divId w:val="36"/>
              <w:jc w:val="center"/>
              <w:rPr>
                <w:vanish w:val="0"/>
              </w:rPr>
            </w:pPr>
            <w:r>
              <w:t xml:space="preserve">MM</w:t>
            </w:r>
          </w:p>
        </w:tc>
      </w:tr>
      <w:tr>
        <w:trPr>
          <w:jc w:val="left"/>
        </w:trPr>
        <w:tc>
          <w:tcPr>
            <w:tcW w:w="0" w:type="auto"/>
            <w:shd w:val="clear" w:color="auto" w:fill="auto"/>
            <w:vAlign w:val="center"/>
          </w:tcPr>
          <w:p>
            <w:pPr>
              <w:pStyle w:val="Normal(Web)"/>
              <w:divId w:val="37"/>
              <w:rPr>
                <w:vanish w:val="0"/>
              </w:rPr>
            </w:pPr>
            <w:r>
              <w:t xml:space="preserve">Cộng hòa Phi-líp-pin</w:t>
            </w:r>
          </w:p>
        </w:tc>
        <w:tc>
          <w:tcPr>
            <w:tcW w:w="0" w:type="auto"/>
            <w:shd w:val="clear" w:color="auto" w:fill="auto"/>
            <w:vAlign w:val="center"/>
          </w:tcPr>
          <w:p>
            <w:pPr>
              <w:pStyle w:val="Normal(Web)"/>
              <w:divId w:val="38"/>
              <w:jc w:val="center"/>
              <w:rPr>
                <w:vanish w:val="0"/>
              </w:rPr>
            </w:pPr>
            <w:r>
              <w:t xml:space="preserve">PH</w:t>
            </w:r>
          </w:p>
        </w:tc>
      </w:tr>
      <w:tr>
        <w:trPr>
          <w:jc w:val="left"/>
        </w:trPr>
        <w:tc>
          <w:tcPr>
            <w:tcW w:w="0" w:type="auto"/>
            <w:shd w:val="clear" w:color="auto" w:fill="auto"/>
            <w:vAlign w:val="center"/>
          </w:tcPr>
          <w:p>
            <w:pPr>
              <w:pStyle w:val="Normal(Web)"/>
              <w:divId w:val="39"/>
              <w:rPr>
                <w:vanish w:val="0"/>
              </w:rPr>
            </w:pPr>
            <w:r>
              <w:t xml:space="preserve">Cộng hòa Xinh-ga-po</w:t>
            </w:r>
          </w:p>
        </w:tc>
        <w:tc>
          <w:tcPr>
            <w:tcW w:w="0" w:type="auto"/>
            <w:shd w:val="clear" w:color="auto" w:fill="auto"/>
            <w:vAlign w:val="center"/>
          </w:tcPr>
          <w:p>
            <w:pPr>
              <w:pStyle w:val="Normal(Web)"/>
              <w:divId w:val="40"/>
              <w:jc w:val="center"/>
              <w:rPr>
                <w:vanish w:val="0"/>
              </w:rPr>
            </w:pPr>
            <w:r>
              <w:t xml:space="preserve">SG</w:t>
            </w:r>
          </w:p>
        </w:tc>
      </w:tr>
      <w:tr>
        <w:trPr>
          <w:jc w:val="left"/>
        </w:trPr>
        <w:tc>
          <w:tcPr>
            <w:tcW w:w="0" w:type="auto"/>
            <w:shd w:val="clear" w:color="auto" w:fill="auto"/>
            <w:vAlign w:val="center"/>
          </w:tcPr>
          <w:p>
            <w:pPr>
              <w:pStyle w:val="Normal(Web)"/>
              <w:divId w:val="41"/>
              <w:rPr>
                <w:vanish w:val="0"/>
              </w:rPr>
            </w:pPr>
            <w:r>
              <w:t xml:space="preserve">Vương </w:t>
            </w:r>
            <w:r>
              <w:t xml:space="preserve">quốc</w:t>
            </w:r>
            <w:r>
              <w:t xml:space="preserve"> Thái Lan</w:t>
            </w:r>
          </w:p>
        </w:tc>
        <w:tc>
          <w:tcPr>
            <w:tcW w:w="0" w:type="auto"/>
            <w:shd w:val="clear" w:color="auto" w:fill="auto"/>
            <w:vAlign w:val="center"/>
          </w:tcPr>
          <w:p>
            <w:pPr>
              <w:pStyle w:val="Normal(Web)"/>
              <w:divId w:val="42"/>
              <w:jc w:val="center"/>
              <w:rPr>
                <w:vanish w:val="0"/>
              </w:rPr>
            </w:pPr>
            <w:r>
              <w:t xml:space="preserve">TH</w:t>
            </w:r>
          </w:p>
        </w:tc>
      </w:tr>
      <w:tr>
        <w:trPr>
          <w:jc w:val="left"/>
        </w:trPr>
        <w:tc>
          <w:tcPr>
            <w:tcW w:w="0" w:type="auto"/>
            <w:shd w:val="clear" w:color="auto" w:fill="auto"/>
            <w:vAlign w:val="center"/>
          </w:tcPr>
          <w:p>
            <w:pPr>
              <w:pStyle w:val="Normal(Web)"/>
              <w:divId w:val="43"/>
              <w:rPr>
                <w:vanish w:val="0"/>
              </w:rPr>
            </w:pPr>
            <w:r>
              <w:t xml:space="preserve">Cộng hòa Nhân dân Trung Hoa</w:t>
            </w:r>
          </w:p>
        </w:tc>
        <w:tc>
          <w:tcPr>
            <w:tcW w:w="0" w:type="auto"/>
            <w:shd w:val="clear" w:color="auto" w:fill="auto"/>
            <w:vAlign w:val="center"/>
          </w:tcPr>
          <w:p>
            <w:pPr>
              <w:pStyle w:val="Normal(Web)"/>
              <w:divId w:val="44"/>
              <w:jc w:val="center"/>
              <w:rPr>
                <w:vanish w:val="0"/>
              </w:rPr>
            </w:pPr>
            <w:r>
              <w:t xml:space="preserve">CN</w:t>
            </w:r>
          </w:p>
        </w:tc>
      </w:tr>
      <w:tr>
        <w:trPr>
          <w:jc w:val="left"/>
        </w:trPr>
        <w:tc>
          <w:tcPr>
            <w:tcW w:w="0" w:type="auto"/>
            <w:shd w:val="clear" w:color="auto" w:fill="auto"/>
            <w:vAlign w:val="center"/>
          </w:tcPr>
          <w:p>
            <w:pPr>
              <w:pStyle w:val="Normal(Web)"/>
              <w:divId w:val="45"/>
              <w:rPr>
                <w:vanish w:val="0"/>
              </w:rPr>
            </w:pPr>
            <w:r>
              <w:t xml:space="preserve">Cộng hòa Xã hội Chủ nghĩa Việt Nam (Hàng hóa từ khu phi thuế quan nhập khẩu vào thị trường trong nước)</w:t>
            </w:r>
          </w:p>
        </w:tc>
        <w:tc>
          <w:tcPr>
            <w:tcW w:w="0" w:type="auto"/>
            <w:shd w:val="clear" w:color="auto" w:fill="auto"/>
            <w:vAlign w:val="center"/>
          </w:tcPr>
          <w:p>
            <w:pPr>
              <w:pStyle w:val="Normal(Web)"/>
              <w:divId w:val="46"/>
              <w:jc w:val="center"/>
              <w:rPr>
                <w:vanish w:val="0"/>
              </w:rPr>
            </w:pPr>
            <w:r>
              <w:t xml:space="preserve">VN</w:t>
            </w:r>
          </w:p>
        </w:tc>
      </w:tr>
    </w:tbl>
    <w:p>
      <w:pPr>
        <w:pStyle w:val="Normal(Web)"/>
        <w:divId w:val="47"/>
        <w:rPr>
          <w:vanish w:val="0"/>
        </w:rPr>
      </w:pPr>
      <w:r>
        <w:t xml:space="preserve">3. Được vận chuyển trực tiếp từ nước xuất khẩu, quy định tại khoản 2 Điều này, đến Việt Nam, theo quy định của Bộ Công Thương.</w:t>
      </w:r>
    </w:p>
    <w:p>
      <w:pPr>
        <w:pStyle w:val="Normal(Web)"/>
        <w:divId w:val="48"/>
        <w:rPr>
          <w:vanish w:val="0"/>
        </w:rPr>
      </w:pPr>
      <w:r>
        <w:t xml:space="preserve">4. Thỏa mãn các quy định về xuất xứ hàng hóa trong Hiệp định Thương mại hàng hóa ASEAN - Trung Quốc, có Giấy chứng nhận xuất xứ hàng </w:t>
      </w:r>
      <w:r>
        <w:t xml:space="preserve">hóa</w:t>
      </w:r>
      <w:r>
        <w:t xml:space="preserve"> ASEAN - Trung Quốc (viết tắt là C/O - Mẫu E) theo quy định của Bộ Công Thương.</w:t>
      </w:r>
    </w:p>
    <w:p>
      <w:pPr>
        <w:pStyle w:val="Normal(Web)"/>
        <w:divId w:val="49"/>
        <w:rPr>
          <w:vanish w:val="0"/>
        </w:rPr>
      </w:pPr>
      <w:r>
        <w:rPr>
          <w:b/>
        </w:rPr>
        <w:t xml:space="preserve">Điều 3. </w:t>
      </w:r>
      <w:r>
        <w:t xml:space="preserve">Hiệu lực thi hành</w:t>
      </w:r>
    </w:p>
    <w:p>
      <w:pPr>
        <w:pStyle w:val="Normal(Web)"/>
        <w:divId w:val="50"/>
        <w:rPr>
          <w:vanish w:val="0"/>
        </w:rPr>
      </w:pPr>
      <w:r>
        <w:t xml:space="preserve">Thông tư này có hiệu lực kể từ ngày 01 tháng 01 năm 2015; thay thế Thông tư số </w:t>
      </w:r>
      <w:hyperlink r:id="rId4" w:history="1">
        <w:r>
          <w:rPr>
            <w:rStyle w:val="Hyperlink"/>
          </w:rPr>
          <w:t xml:space="preserve">162/2011/TT-BTC </w:t>
        </w:r>
      </w:hyperlink>
      <w:r>
        <w:t xml:space="preserve"> ngày 17 tháng 11 năm 2011 của Bộ trưởng Bộ Tài chính về việc ban hành Biểu thuế nhập khẩu ưu đãi đặc biệt của Việt Nam để thực hiện Khu vực Thương mại tự do ASEAN - Trung Quốc giai đoạn 2012-2014. Trong quá trình thực hiện nếu có khó khăn, vướng mắc đề nghị phản ánh kịp thời để Bộ Tài chính có hướng dẫn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1"/>
              <w:rPr>
                <w:vanish w:val="0"/>
              </w:rPr>
            </w:pPr>
            <w:r>
              <w:rPr>
                <w:b/>
                <w:i/>
              </w:rPr>
              <w:t xml:space="preserve">Nơi nhận:</w:t>
            </w:r>
            <w:r>
              <w:rPr/>
              <w:br/>
            </w:r>
            <w:r>
              <w:t xml:space="preserve">- Thủ tướng và các Phó Thủ tướng Chính phủ;</w:t>
            </w:r>
            <w:r>
              <w:rPr/>
              <w:br/>
            </w:r>
            <w:r>
              <w:t xml:space="preserve">- Văn phòng Trung ương và các Ban của Đảng;</w:t>
            </w:r>
            <w:r>
              <w:rPr/>
              <w:br/>
            </w:r>
            <w:r>
              <w:t xml:space="preserve"> </w:t>
            </w:r>
            <w:r>
              <w:t xml:space="preserve">- Văn</w:t>
            </w:r>
            <w:r>
              <w:t xml:space="preserve"> phòng Quốc hội;</w:t>
            </w:r>
            <w:r>
              <w:rPr/>
              <w:br/>
            </w:r>
            <w:r>
              <w:t xml:space="preserve"> </w:t>
            </w:r>
            <w:r>
              <w:t xml:space="preserve">- Văn</w:t>
            </w:r>
            <w:r>
              <w:t xml:space="preserve"> phòng Chủ tịch nước;</w:t>
            </w:r>
            <w:r>
              <w:rPr/>
              <w:br/>
            </w:r>
            <w:r>
              <w:t xml:space="preserve"> </w:t>
            </w:r>
            <w:r>
              <w:t xml:space="preserve">- Văn</w:t>
            </w:r>
            <w:r>
              <w:t xml:space="preserve"> phòng Tổng Bí thư;</w:t>
            </w:r>
            <w:r>
              <w:rPr/>
              <w:br/>
            </w:r>
            <w:r>
              <w:t xml:space="preserve"> </w:t>
            </w:r>
            <w:r>
              <w:t xml:space="preserve">- Văn</w:t>
            </w:r>
            <w:r>
              <w:t xml:space="preserve"> phòng Chính phủ;</w:t>
            </w:r>
            <w:r>
              <w:rPr/>
              <w:br/>
            </w:r>
            <w:r>
              <w:t xml:space="preserve">- Viện kiểm sát NDTC, Tòa án NDTC;</w:t>
            </w:r>
            <w:r>
              <w:rPr/>
              <w:br/>
            </w:r>
            <w:r>
              <w:t xml:space="preserve">- Kiểm toán Nhà nước;</w:t>
            </w:r>
            <w:r>
              <w:rPr/>
              <w:br/>
            </w:r>
            <w:r>
              <w:t xml:space="preserve">- Các Bộ, Cơ quan ngang Bộ, Cơ quan thuộc Chính phủ;</w:t>
            </w:r>
            <w:r>
              <w:rPr/>
              <w:br/>
            </w:r>
            <w:r>
              <w:t xml:space="preserve">- Phòng Thương mại và Công nghiệp Việt Nam;</w:t>
            </w:r>
            <w:r>
              <w:rPr/>
              <w:br/>
            </w:r>
            <w:r>
              <w:t xml:space="preserve">- UBND tỉnh, thành phố trực thuộc TW;</w:t>
            </w:r>
            <w:r>
              <w:rPr/>
              <w:br/>
            </w:r>
            <w:r>
              <w:t xml:space="preserve">- Cục Kiểm tra Văn bản-Bộ Tư pháp;</w:t>
            </w:r>
            <w:r>
              <w:rPr/>
              <w:br/>
            </w:r>
            <w:r>
              <w:t xml:space="preserve">- Cục Hải quan các tỉnh, thành phố;</w:t>
            </w:r>
            <w:r>
              <w:rPr/>
              <w:br/>
            </w:r>
            <w:r>
              <w:t xml:space="preserve">- Công báo;</w:t>
            </w:r>
            <w:r>
              <w:rPr/>
              <w:br/>
            </w:r>
            <w:r>
              <w:t xml:space="preserve">- Website Chính phủ, Website Bộ Tài chính;</w:t>
            </w:r>
            <w:r>
              <w:rPr/>
              <w:br/>
            </w:r>
            <w:r>
              <w:t xml:space="preserve">- Các đơn vị thuộc và trực thuộc Bộ Tài chính;</w:t>
            </w:r>
            <w:r>
              <w:rPr/>
              <w:br/>
            </w:r>
            <w:r>
              <w:t xml:space="preserve">- Lưu: VT, Vụ HTQT.</w:t>
            </w:r>
          </w:p>
        </w:tc>
        <w:tc>
          <w:tcPr>
            <w:tcW w:w="0" w:type="auto"/>
            <w:shd w:val="clear" w:color="auto" w:fill="auto"/>
            <w:vAlign w:val="center"/>
          </w:tcPr>
          <w:p>
            <w:pPr>
              <w:pStyle w:val="Normal(Web)"/>
              <w:divId w:val="52"/>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Trương Chí Trung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6-2014-tt-btc-cua-bo-tai-chinh-ve-viec-ban-hanh-bieu-thue-nhap-khau-uu-dai-dac-biet-cua-viet-nam-de-thuc-hien-hiep-dinh-thuong-mai-hang-hoa-asean---trung-quoc-giai-doan-2015-2018.aspx" TargetMode="External" /><Relationship Id="rId4" Type="http://schemas.openxmlformats.org/officeDocument/2006/relationships/hyperlink" Target="/thong-tu-so-162-2011-tt-btc-cua-bo-tai-chinh---ve-viec-ban-hanh-bieu-thue-nhap-khau-uu-dai-dac-biet-cua-viet-nam---de-thuc-hien-khu-vuc-thuong-mai-tu-do-asean-&#8211;-trung-quoc---giai-doan-2012-2014.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2022-06-21T17:00:28Z</dcterms:created>
  <dcterms:modified xsi:type="dcterms:W3CDTF">2022-06-21T17:00:28Z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2022-06-21T17:00:28Z</dcterms:created>
  <dcterms:modified xsi:type="dcterms:W3CDTF">2022-06-21T17:00:28Z</dcterms:modified>
</cp:coreProperties>
</file>