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</w:pPr>
    </w:p>
    <w:tbl>
      <w:tblPr>
        <w:tblStyle w:val="TableNormal"/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divId w:val="1"/>
              <w:jc w:val="center"/>
              <w:rPr>
                <w:vanish w:val="0"/>
              </w:rPr>
            </w:pPr>
            <w:r>
              <w:t xml:space="preserve">BỘ TÀI CHÍNH</w:t>
            </w:r>
            <w:r>
              <w:rPr/>
              <w:br/>
            </w:r>
            <w:r>
              <w:t xml:space="preserve"> </w:t>
            </w:r>
            <w:r>
              <w:rPr>
                <w:b/>
              </w:rPr>
              <w:t xml:space="preserve">TỔNG CỤC HẢI QUAN</w:t>
            </w:r>
            <w:r>
              <w:rPr>
                <w:b/>
              </w:rPr>
              <w:br/>
            </w:r>
            <w:r>
              <w:rPr>
                <w:b/>
              </w:rPr>
              <w:t xml:space="preserve">-------</w:t>
            </w:r>
          </w:p>
          <w:p>
            <w:pPr>
              <w:pStyle w:val="Normal(Web)"/>
              <w:divId w:val="2"/>
              <w:jc w:val="center"/>
              <w:rPr>
                <w:vanish w:val="0"/>
              </w:rPr>
            </w:pPr>
            <w:r>
              <w:t xml:space="preserve">Số: 13788/TCHQ-TXNK </w:t>
            </w:r>
            <w:r>
              <w:rPr/>
              <w:br/>
            </w:r>
            <w:r>
              <w:t xml:space="preserve">V/v: Vướng mắc triển khai thực hiện Thông tư số 126/2014/TT-BTC 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divId w:val="3"/>
              <w:jc w:val="center"/>
              <w:rPr>
                <w:vanish w:val="0"/>
              </w:rPr>
            </w:pPr>
            <w:r>
              <w:rPr>
                <w:b/>
              </w:rPr>
              <w:t xml:space="preserve">CỘNG HÒA XÃ HỘI CHỦ NGHĨA VIỆT NAM</w:t>
            </w:r>
            <w:r>
              <w:rPr>
                <w:b/>
              </w:rPr>
              <w:br/>
            </w:r>
            <w:r>
              <w:rPr>
                <w:b/>
              </w:rPr>
              <w:t xml:space="preserve">Độc lập - Tự do - Hạnh phúc </w:t>
            </w:r>
            <w:r>
              <w:rPr>
                <w:b/>
              </w:rPr>
              <w:br/>
            </w:r>
            <w:r>
              <w:rPr>
                <w:b/>
              </w:rPr>
              <w:t xml:space="preserve">---------------</w:t>
            </w:r>
          </w:p>
          <w:p>
            <w:pPr>
              <w:pStyle w:val="Normal(Web)"/>
              <w:divId w:val="4"/>
              <w:jc w:val="right"/>
              <w:rPr>
                <w:vanish w:val="0"/>
              </w:rPr>
            </w:pPr>
            <w:r>
              <w:rPr>
                <w:i/>
              </w:rPr>
              <w:t xml:space="preserve">Hà Nội, ngày 13 tháng 11 năm 2014</w:t>
            </w:r>
          </w:p>
        </w:tc>
      </w:tr>
    </w:tbl>
    <w:p>
      <w:pPr>
        <w:pStyle w:val="Normal(Web)"/>
        <w:divId w:val="5"/>
        <w:jc w:val="center"/>
        <w:rPr>
          <w:vanish w:val="0"/>
        </w:rPr>
      </w:pPr>
      <w:r>
        <w:rPr>
          <w:b/>
        </w:rPr>
        <w:t xml:space="preserve">Kính gửi:</w:t>
      </w:r>
      <w:r>
        <w:t xml:space="preserve"> Cục Hải quan TP Hồ Chí Minh</w:t>
      </w:r>
    </w:p>
    <w:p>
      <w:pPr>
        <w:pStyle w:val="Normal(Web)"/>
        <w:divId w:val="6"/>
        <w:rPr>
          <w:vanish w:val="0"/>
        </w:rPr>
      </w:pPr>
      <w:r>
        <w:t xml:space="preserve">Tổng cục Hải quan nhận được công văn số 3787/HQHCM-TXNK ngày 23/10/2014 của Cục Hải quan TP Hồ Chí Minh về việc vướng mắc triển khai thực hiện Thông tư số </w:t>
      </w:r>
      <w:hyperlink r:id="rId3" w:history="1">
        <w:r>
          <w:rPr>
            <w:rStyle w:val="Hyperlink"/>
          </w:rPr>
          <w:t xml:space="preserve">126/2014/TT-BTC </w:t>
        </w:r>
      </w:hyperlink>
      <w:r>
        <w:t xml:space="preserve">. Về vấn đề này, Tổng cục Hải quan có ý kiến như sau:</w:t>
      </w:r>
    </w:p>
    <w:p>
      <w:pPr>
        <w:pStyle w:val="Normal(Web)"/>
        <w:divId w:val="7"/>
        <w:rPr>
          <w:vanish w:val="0"/>
        </w:rPr>
      </w:pPr>
      <w:r>
        <w:rPr>
          <w:b/>
        </w:rPr>
        <w:t xml:space="preserve">1. </w:t>
      </w:r>
      <w:r>
        <w:t xml:space="preserve">Về hạch toán kế toán theo quy định tại Thông tư số 126/2014/TT-BTC ngày 28/8/2014 của Bộ Tài chính:</w:t>
      </w:r>
    </w:p>
    <w:p>
      <w:pPr>
        <w:pStyle w:val="Normal(Web)"/>
        <w:divId w:val="8"/>
        <w:rPr>
          <w:vanish w:val="0"/>
        </w:rPr>
      </w:pPr>
      <w:r>
        <w:t xml:space="preserve">Ngày 29/10/2014, Tổng cục Hải quan có công văn số 13138/TCHQ-TXNK về việc triển khai Thông tư số 126/2014/TT-BTC, việc hạch toán thanh khoản nợ cho người nộp thuế và hạch toán thu ngân sách nhà nước (NSNN) hướng dẫn tại điểm 1 công văn số 13138/TCHQ-TXNK .</w:t>
      </w:r>
    </w:p>
    <w:p>
      <w:pPr>
        <w:pStyle w:val="Normal(Web)"/>
        <w:divId w:val="9"/>
        <w:rPr>
          <w:vanish w:val="0"/>
        </w:rPr>
      </w:pPr>
      <w:r>
        <w:rPr>
          <w:b/>
        </w:rPr>
        <w:t xml:space="preserve">2.</w:t>
      </w:r>
      <w:r>
        <w:t xml:space="preserve">Về thao tác trên chương trình kế toán tập trung việc cập nhật thông tin thu, hạch toán thanh khoản nợ khi triển khai Thông tư số 126/2014/TT-BTC:</w:t>
      </w:r>
    </w:p>
    <w:p>
      <w:pPr>
        <w:pStyle w:val="Normal(Web)"/>
        <w:divId w:val="10"/>
        <w:rPr>
          <w:vanish w:val="0"/>
        </w:rPr>
      </w:pPr>
      <w:r>
        <w:t xml:space="preserve">Ngày 11/11/2014, Cục Công nghệ tin và Thống kê Hải quan có công văn số 851/CNTT-CNTT hướng dẫn khai thác tra cứu và xử lý dữ liệu tự động trên hệ thống kế toán thuế xuất nhập khẩu tập trung.</w:t>
      </w:r>
    </w:p>
    <w:p>
      <w:pPr>
        <w:pStyle w:val="Normal(Web)"/>
        <w:divId w:val="11"/>
        <w:rPr>
          <w:vanish w:val="0"/>
        </w:rPr>
      </w:pPr>
      <w:r>
        <w:rPr>
          <w:b/>
        </w:rPr>
        <w:t xml:space="preserve">3. </w:t>
      </w:r>
      <w:r>
        <w:t xml:space="preserve">Về đối chiếu và xử lý sai sót giữa cơ quan hải quan với tổ chức tín dụng và Kho bạc Nhà nước:</w:t>
      </w:r>
    </w:p>
    <w:p>
      <w:pPr>
        <w:pStyle w:val="Normal(Web)"/>
        <w:divId w:val="12"/>
        <w:rPr>
          <w:vanish w:val="0"/>
        </w:rPr>
      </w:pPr>
      <w:r>
        <w:t xml:space="preserve">Ngày 10/11/2014 Bộ Tài chính có công văn số 16339/BTC-TCT về việc hướng dẫn thu nộp NSNN theo Thông tư số 119/2014/TT-BTC và Thông tư số 126/2014/TT-BTC.</w:t>
      </w:r>
    </w:p>
    <w:p>
      <w:pPr>
        <w:pStyle w:val="Normal(Web)"/>
        <w:divId w:val="13"/>
        <w:rPr>
          <w:vanish w:val="0"/>
        </w:rPr>
      </w:pPr>
      <w:r>
        <w:t xml:space="preserve">Tổng cục Hải quan thông báo để Cục Hải quan Thành phố Hồ Chí Minh biết và thực hiện./.</w:t>
      </w:r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</w:pPr>
    </w:p>
    <w:tbl>
      <w:tblPr>
        <w:tblStyle w:val="TableNormal"/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divId w:val="14"/>
              <w:rPr>
                <w:vanish w:val="0"/>
              </w:rPr>
            </w:pPr>
            <w:r>
              <w:rPr>
                <w:b/>
                <w:i/>
              </w:rPr>
              <w:t xml:space="preserve">Nơi nhận:</w:t>
            </w:r>
            <w:r>
              <w:rPr>
                <w:b/>
                <w:i/>
              </w:rPr>
              <w:br/>
            </w:r>
            <w:r>
              <w:rPr>
                <w:b/>
                <w:i/>
              </w:rPr>
              <w:t xml:space="preserve"> </w:t>
            </w:r>
            <w:r>
              <w:t xml:space="preserve">- Như trên;</w:t>
            </w:r>
            <w:r>
              <w:rPr/>
              <w:br/>
            </w:r>
            <w:r>
              <w:t xml:space="preserve">- Lưu: VT, TXNK-DTTH-Nhung(3b).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divId w:val="15"/>
              <w:jc w:val="center"/>
              <w:rPr>
                <w:vanish w:val="0"/>
              </w:rPr>
            </w:pPr>
            <w:r>
              <w:rPr>
                <w:b/>
              </w:rPr>
              <w:t xml:space="preserve">TL. TỔNG CỤC TRƯỞNG</w:t>
            </w:r>
            <w:r>
              <w:rPr>
                <w:b/>
              </w:rPr>
              <w:br/>
            </w:r>
            <w:r>
              <w:rPr>
                <w:b/>
              </w:rPr>
              <w:t xml:space="preserve">KT. CỤC TRƯỞNG CỤC THUẾ XNK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PHÓ CỤC TRƯỞNG</w:t>
            </w:r>
            <w:r>
              <w:rPr>
                <w:b/>
              </w:rPr>
              <w:br/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>
              <w:rPr>
                <w:b/>
              </w:rPr>
              <w:t xml:space="preserve">Nguyễn Ngọc Hưng</w:t>
            </w:r>
          </w:p>
        </w:tc>
      </w:tr>
    </w:tbl>
    <w:p>
      <w:pPr/>
    </w:p>
    <w:sectPr>
      <w:headerReference w:type="default" r:id="rId4"/>
      <w:footerReference w:type="default" r:id="rId5"/>
      <w:pgSz w:w="11907" w:h="16839" w:orient="portrait"/>
      <w:pgMar w:top="1440" w:right="1440" w:bottom="1440" w:left="1440" w:header="800" w:footer="800" w:gutter="0"/>
    </w:sectPr>
  </w:body>
</w:document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  <w:tab/>
      <w:tab/>
      <w:tab/>
      <w:tab/>
      <w:tab/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view w:val="web"/>
  <w:zoom w:percent="100"/>
  <w:bordersDoNotSurroundFooter w:val="0"/>
  <w:bordersDoNotSurroundHeader w:val="0"/>
  <w:doNotTrackMoves/>
  <w:documentProtection w:edit="trackedChanges" w:enforcement="0"/>
  <w:defaultTabStop w:val="720"/>
  <w:characterSpacingControl w:val="doNotCompress"/>
  <w:compat>
    <w:doNotExpandShiftReturn/>
    <w:doNotSnapToGridInCell/>
    <w:doNotWrapTextWithPunct/>
    <w:doNotUseEastAsianBreakRules/>
    <w:growAutofit/>
    <w:useFELayout/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/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uk-UA" w:bidi="ar-SA"/>
    </w:rPr>
  </w:style>
  <w:style w:type="paragraph" w:styleId="Normal(Web)">
    <w:name w:val="Normal (Web)"/>
    <w:basedOn w:val="Normal"/>
    <w:qFormat/>
    <w:rPr>
      <w:sz w:val="24"/>
    </w:rPr>
  </w:style>
  <w:style w:type="character" w:styleId="Hyperlink">
    <w:name w:val="Hyperlink"/>
    <w:rPr>
      <w:color w:val="0000FF"/>
      <w:u w:val="single"/>
    </w:rPr>
  </w:style>
  <w:style w:type="table" w:default="1" w:styleId="TableNormal">
    <w:name w:val="Normal Table"/>
    <w:uiPriority w:val="99"/>
    <w:semiHidden/>
    <w:unhideWhenUsed/>
    <w:qFormat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hyperlink" Target="/thong-tu-so-126-2014-tt-btc-cua-bo-tai-chinh---quy-dinh-mot-so-thu-tuc-ve-ke-khai--thu-nop-thue--tien-cham-nop--tien-phat-va-cac-khoan-thu-khac-doi-voi-hang-hoa-xuat-khau--nhap-khau.aspx" TargetMode="Externa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Relationship Id="rId8" Type="http://schemas.openxmlformats.org/officeDocument/2006/relationships/webSettings" Target="webSettings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2022-06-21T17:04:58Z</dcterms:created>
  <dcterms:modified xsi:type="dcterms:W3CDTF">2022-06-21T17:04:58Z</dcterms:modified>
</cp:coreProperties>
</file>

<file path=customXml/item2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Công ty Luật Minh Khuê</dc:creator>
  <dc:description>Xem chi tiết và tải về văn bản tại website https://luatminhkhue.vn</dc:description>
  <cp:revision>1</cp:revision>
  <dcterms:created xsi:type="dcterms:W3CDTF">2022-06-21T17:04:58Z</dcterms:created>
  <dcterms:modified xsi:type="dcterms:W3CDTF">2022-06-21T17:04:58Z</dcterms:modified>
</cp:coreProperties>
</file>