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THỂ THAO VÀ DU LỊCH</w:t>
            </w:r>
          </w:p>
          <w:p>
            <w:pPr>
              <w:pStyle w:val="Normal(Web)"/>
              <w:divId w:val="2"/>
              <w:jc w:val="center"/>
              <w:rPr>
                <w:vanish w:val="0"/>
              </w:rPr>
            </w:pPr>
            <w:r>
              <w:rPr>
                <w:b/>
              </w:rPr>
              <w:t xml:space="preserve">----------------------</w:t>
            </w:r>
          </w:p>
          <w:p>
            <w:pPr>
              <w:pStyle w:val="Normal(Web)"/>
              <w:divId w:val="3"/>
              <w:jc w:val="center"/>
              <w:rPr>
                <w:vanish w:val="0"/>
              </w:rPr>
            </w:pPr>
            <w:r>
              <w:t xml:space="preserve">Số: </w:t>
            </w:r>
            <w:hyperlink r:id="rId3" w:history="1">
              <w:r>
                <w:rPr>
                  <w:rStyle w:val="Hyperlink"/>
                </w:rPr>
                <w:t xml:space="preserve">05/2012/TT-BVHTTDL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t xml:space="preserve">------------------</w:t>
            </w:r>
          </w:p>
          <w:p>
            <w:pPr>
              <w:pStyle w:val="Normal(Web)"/>
              <w:divId w:val="7"/>
              <w:jc w:val="right"/>
              <w:rPr>
                <w:vanish w:val="0"/>
              </w:rPr>
            </w:pPr>
            <w:r>
              <w:rPr>
                <w:i/>
              </w:rPr>
              <w:t xml:space="preserve">Hà Nội, ngày 02 tháng 5 năm 2012</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Sửa đổi, bổ sung mộ số điều của Thông tư số </w:t>
      </w:r>
      <w:hyperlink r:id="rId4" w:history="1">
        <w:r>
          <w:rPr>
            <w:rStyle w:val="Hyperlink"/>
            <w:b/>
          </w:rPr>
          <w:t xml:space="preserve">04/2009/TT-BVHTTDL </w:t>
        </w:r>
      </w:hyperlink>
      <w:r>
        <w:rPr>
          <w:b/>
        </w:rPr>
        <w:t xml:space="preserve"> , Thông tư số 07/2011/TT-BVHTTDL , Quyết định số 55/1999/QĐ-BVHTT </w:t>
      </w:r>
    </w:p>
    <w:p>
      <w:pPr>
        <w:pStyle w:val="Normal(Web)"/>
        <w:divId w:val="10"/>
        <w:rPr>
          <w:vanish w:val="0"/>
        </w:rPr>
      </w:pPr>
      <w:r>
        <w:rPr>
          <w:i/>
        </w:rPr>
        <w:t xml:space="preserve">Căn cứ Luật Ban hành văn bản quy phạm pháp luật ngày 03 tháng 6 năm 2008;</w:t>
      </w:r>
    </w:p>
    <w:p>
      <w:pPr>
        <w:pStyle w:val="Normal(Web)"/>
        <w:divId w:val="11"/>
        <w:rPr>
          <w:vanish w:val="0"/>
        </w:rPr>
      </w:pPr>
      <w:r>
        <w:rPr>
          <w:i/>
        </w:rPr>
        <w:t xml:space="preserve">Căn cứ Nghị định số </w:t>
      </w:r>
      <w:hyperlink r:id="rId5" w:history="1">
        <w:r>
          <w:rPr>
            <w:rStyle w:val="Hyperlink"/>
            <w:i/>
          </w:rPr>
          <w:t xml:space="preserve">24/2009/NĐ-CP </w:t>
        </w:r>
      </w:hyperlink>
      <w:r>
        <w:rPr>
          <w:i/>
        </w:rPr>
        <w:t xml:space="preserve"> ngày 05 tháng 03 năm 2009 của Chính phủ quy định chi tiết và biện pháp thi hành Luật Ban hành văn bản quy phạm pháp luật;</w:t>
      </w:r>
    </w:p>
    <w:p>
      <w:pPr>
        <w:pStyle w:val="Normal(Web)"/>
        <w:divId w:val="12"/>
        <w:rPr>
          <w:vanish w:val="0"/>
        </w:rPr>
      </w:pPr>
      <w:r>
        <w:rPr>
          <w:i/>
        </w:rPr>
        <w:t xml:space="preserve">Căn cứ Nghị định số </w:t>
      </w:r>
      <w:hyperlink r:id="rId6" w:history="1">
        <w:r>
          <w:rPr>
            <w:rStyle w:val="Hyperlink"/>
            <w:i/>
          </w:rPr>
          <w:t xml:space="preserve">185/2007/NĐ-CP </w:t>
        </w:r>
      </w:hyperlink>
      <w:r>
        <w:rPr>
          <w:i/>
        </w:rPr>
        <w:t xml:space="preserve"> ngày 25 tháng 12 năm 2007 của Chính phủ quy định chức năng, nhiệm vụ, quyền hạn và cơ cấu tổ chức của Bộ Văn hoá, Thể thao và Du lịch;</w:t>
      </w:r>
    </w:p>
    <w:p>
      <w:pPr>
        <w:pStyle w:val="Normal(Web)"/>
        <w:divId w:val="13"/>
        <w:rPr>
          <w:vanish w:val="0"/>
        </w:rPr>
      </w:pPr>
      <w:r>
        <w:rPr>
          <w:i/>
        </w:rPr>
        <w:t xml:space="preserve">Căn cứ Nghị định số </w:t>
      </w:r>
      <w:hyperlink r:id="rId7" w:history="1">
        <w:r>
          <w:rPr>
            <w:rStyle w:val="Hyperlink"/>
            <w:i/>
          </w:rPr>
          <w:t xml:space="preserve">01/2012/NĐ-CP </w:t>
        </w:r>
      </w:hyperlink>
      <w:r>
        <w:rPr>
          <w:i/>
        </w:rPr>
        <w:t xml:space="preserve"> ngày 04 tháng 01 năm 2012 của Chính phủ sửa đổi, bổ sung, thay thế hoặc bãi bỏ, huỷ bỏ các quy định có liên quan đến thủ tục hành chính thuộc phạm vi quản lý của Bộ Văn hoá, Thể thao và Du lịch;</w:t>
      </w:r>
    </w:p>
    <w:p>
      <w:pPr>
        <w:pStyle w:val="Normal(Web)"/>
        <w:divId w:val="14"/>
        <w:rPr>
          <w:vanish w:val="0"/>
        </w:rPr>
      </w:pPr>
      <w:r>
        <w:rPr>
          <w:i/>
        </w:rPr>
        <w:t xml:space="preserve">Theo đề nghị của Chánh Văn phòng và Vụ trưởng Vụ Pháp chế;</w:t>
      </w:r>
    </w:p>
    <w:p>
      <w:pPr>
        <w:pStyle w:val="Normal(Web)"/>
        <w:divId w:val="15"/>
        <w:rPr>
          <w:vanish w:val="0"/>
        </w:rPr>
      </w:pPr>
      <w:r>
        <w:rPr>
          <w:i/>
        </w:rPr>
        <w:t xml:space="preserve">Bộ trưởng Bộ Văn hoá, Thể thao và Du lịch ban hành Thông tư sửa đổi, bổ sung một số điều của Thông tư số 04/2009/TT-BVHTTDL, Thông tư số </w:t>
      </w:r>
      <w:hyperlink r:id="rId8" w:history="1">
        <w:r>
          <w:rPr>
            <w:rStyle w:val="Hyperlink"/>
            <w:i/>
          </w:rPr>
          <w:t xml:space="preserve">07/2011/TT-BVHTTDL </w:t>
        </w:r>
      </w:hyperlink>
      <w:r>
        <w:rPr>
          <w:i/>
        </w:rPr>
        <w:t xml:space="preserve">, Quyết định số 55/1999/QĐ-BVHTT.</w:t>
      </w:r>
    </w:p>
    <w:p>
      <w:pPr>
        <w:pStyle w:val="Normal(Web)"/>
        <w:divId w:val="16"/>
        <w:rPr>
          <w:vanish w:val="0"/>
        </w:rPr>
      </w:pPr>
      <w:r>
        <w:rPr>
          <w:b/>
        </w:rPr>
        <w:t xml:space="preserve">Điều 1. Sửa đổi, bổ sung</w:t>
      </w:r>
      <w:r>
        <w:rPr>
          <w:b/>
        </w:rPr>
        <w:t xml:space="preserve"> một số điều của </w:t>
      </w:r>
      <w:r>
        <w:rPr>
          <w:b/>
        </w:rPr>
        <w:t xml:space="preserve">Thông tư số 04/2009/TT-BVHTTDL ngày 16</w:t>
      </w:r>
      <w:r>
        <w:rPr>
          <w:b/>
        </w:rPr>
        <w:t xml:space="preserve"> tháng </w:t>
      </w:r>
      <w:r>
        <w:rPr>
          <w:b/>
        </w:rPr>
        <w:t xml:space="preserve">12</w:t>
      </w:r>
      <w:r>
        <w:rPr>
          <w:b/>
        </w:rPr>
        <w:t xml:space="preserve"> năm </w:t>
      </w:r>
      <w:r>
        <w:rPr>
          <w:b/>
        </w:rPr>
        <w:t xml:space="preserve">2009 của</w:t>
      </w:r>
      <w:r>
        <w:rPr>
          <w:b/>
        </w:rPr>
        <w:t xml:space="preserve"> Bộ trưởng</w:t>
      </w:r>
      <w:r>
        <w:rPr>
          <w:b/>
        </w:rPr>
        <w:t xml:space="preserve">Bộ Văn hoá, Thể thao và Du lịch quy định chi tiết thi hành một số quy định tại Quy chế hoạt động văn hoá và kinh doanh dịch vụ văn hoá công cộng ban hành kèm theo Nghị định số </w:t>
      </w:r>
      <w:hyperlink r:id="rId9" w:history="1">
        <w:r>
          <w:rPr>
            <w:rStyle w:val="Hyperlink"/>
            <w:b/>
          </w:rPr>
          <w:t xml:space="preserve">103/2009/NĐ-CP </w:t>
        </w:r>
      </w:hyperlink>
      <w:r>
        <w:rPr>
          <w:b/>
        </w:rPr>
        <w:t xml:space="preserve"> ngày 06 tháng 11 năm 2009 của Chính phủ</w:t>
      </w:r>
    </w:p>
    <w:p>
      <w:pPr>
        <w:pStyle w:val="Normal(Web)"/>
        <w:divId w:val="17"/>
        <w:rPr>
          <w:vanish w:val="0"/>
        </w:rPr>
      </w:pPr>
      <w:r>
        <w:t xml:space="preserve">1. Điều 4 được sửa đổi, bổ sung tại khoản 3 như sau:</w:t>
      </w:r>
    </w:p>
    <w:p>
      <w:pPr>
        <w:pStyle w:val="Normal(Web)"/>
        <w:divId w:val="18"/>
        <w:rPr>
          <w:vanish w:val="0"/>
        </w:rPr>
      </w:pPr>
      <w:r>
        <w:t xml:space="preserve">“3. Cục trưởng Cục Nghệ thuật biểu diễn cấp giấy phép lưu hành băng, đĩa ca nhạc, sân khấu quy định tại điểm a khoản 2 Điều 5 Quy chế. </w:t>
      </w:r>
    </w:p>
    <w:p>
      <w:pPr>
        <w:pStyle w:val="Normal(Web)"/>
        <w:divId w:val="19"/>
        <w:rPr>
          <w:vanish w:val="0"/>
        </w:rPr>
      </w:pPr>
      <w:r>
        <w:t xml:space="preserve">Cục Nghệ thuật biểu diễn</w:t>
      </w:r>
      <w:r>
        <w:t xml:space="preserve">, Sở Văn hóa, Thể thao và Du lịch cấp nhãn kiểm soát băng, đĩa ca nhạc, sân khấu quy định tại khoản 4 Điều 5 Quy chế. </w:t>
      </w:r>
    </w:p>
    <w:p>
      <w:pPr>
        <w:pStyle w:val="Normal(Web)"/>
        <w:divId w:val="20"/>
        <w:rPr>
          <w:vanish w:val="0"/>
        </w:rPr>
      </w:pPr>
      <w:r>
        <w:t xml:space="preserve">Đơn đề nghị cấp nhãn kiểm soát</w:t>
      </w:r>
      <w:r>
        <w:t xml:space="preserve"> băng, đĩa ca nhạc, sân khấu</w:t>
      </w:r>
      <w:r>
        <w:t xml:space="preserve"> (Mẫu 1).</w:t>
      </w:r>
      <w:r>
        <w:t xml:space="preserve">”.</w:t>
      </w:r>
    </w:p>
    <w:p>
      <w:pPr>
        <w:pStyle w:val="Normal(Web)"/>
        <w:divId w:val="21"/>
        <w:rPr>
          <w:vanish w:val="0"/>
        </w:rPr>
      </w:pPr>
      <w:r>
        <w:t xml:space="preserve">2. Điều 6 được sửa đổi, bổ sung như sau:</w:t>
      </w:r>
    </w:p>
    <w:p>
      <w:pPr>
        <w:pStyle w:val="Normal(Web)"/>
        <w:divId w:val="22"/>
        <w:rPr>
          <w:vanish w:val="0"/>
        </w:rPr>
      </w:pPr>
      <w:r>
        <w:t xml:space="preserve">“</w:t>
      </w:r>
      <w:r>
        <w:rPr>
          <w:b/>
        </w:rPr>
        <w:t xml:space="preserve">Điều 6.</w:t>
      </w:r>
      <w:r>
        <w:t xml:space="preserve"> Thủ tục thông báo tổ chức biểu diễn nghệ thuật tại các cơ sở lưu trú du lịch, nhà hàng ăn uống, giải khát </w:t>
      </w:r>
    </w:p>
    <w:p>
      <w:pPr>
        <w:pStyle w:val="Normal(Web)"/>
        <w:divId w:val="23"/>
        <w:rPr>
          <w:vanish w:val="0"/>
        </w:rPr>
      </w:pPr>
      <w:r>
        <w:t xml:space="preserve">Ít nhất 03 ngày trước ngày tổ chức biểu diễn, cơ sở lưu trú du lịch, nhà hàng ăn uống, giải khát tổ chức cho đoàn nghệ thuật, nghệ sĩ nước ngoài biểu diễn tại cơ sở của mình, không bán vé thu tiền xem biểu diễn quy định tại khoản 2 Điều 8 Quy chế phải thực hiện thông báo bằng văn bản với Sở Văn hoá, Thể thao và Du lịch nơi tổ chức biểu diễn.</w:t>
      </w:r>
    </w:p>
    <w:p>
      <w:pPr>
        <w:pStyle w:val="Normal(Web)"/>
        <w:divId w:val="24"/>
        <w:rPr>
          <w:vanish w:val="0"/>
        </w:rPr>
      </w:pPr>
      <w:r>
        <w:t xml:space="preserve">Thông báo bằng văn bản phải ghi rõ: Tên chương trình, vở diễn; nội dung chương trình, vở diễn; danh sách tác giả, đạo diễn, biên đạo, nhạc sĩ, hoạ sĩ, diễn viên; thời gian, địa điểm biểu diễn (Mẫu </w:t>
      </w:r>
      <w:r>
        <w:t xml:space="preserve">2</w:t>
      </w:r>
      <w:r>
        <w:t xml:space="preserve">).”</w:t>
      </w:r>
      <w:r>
        <w:t xml:space="preserve">.</w:t>
      </w:r>
    </w:p>
    <w:p>
      <w:pPr>
        <w:pStyle w:val="Normal(Web)"/>
        <w:divId w:val="25"/>
        <w:rPr>
          <w:vanish w:val="0"/>
        </w:rPr>
      </w:pPr>
      <w:r>
        <w:t xml:space="preserve">3</w:t>
      </w:r>
      <w:r>
        <w:t xml:space="preserve">. </w:t>
      </w:r>
      <w:r>
        <w:t xml:space="preserve">Bãi</w:t>
      </w:r>
      <w:r>
        <w:t xml:space="preserve"> bỏ mẫu số 1 và mẫu số 2</w:t>
      </w:r>
      <w:r>
        <w:t xml:space="preserve">.</w:t>
      </w:r>
    </w:p>
    <w:p>
      <w:pPr>
        <w:pStyle w:val="Normal(Web)"/>
        <w:divId w:val="26"/>
        <w:rPr>
          <w:vanish w:val="0"/>
        </w:rPr>
      </w:pPr>
      <w:r>
        <w:t xml:space="preserve">4</w:t>
      </w:r>
      <w:r>
        <w:t xml:space="preserve">. </w:t>
      </w:r>
      <w:r>
        <w:t xml:space="preserve">Bãi</w:t>
      </w:r>
      <w:r>
        <w:t xml:space="preserve"> bỏ khoản 3 Điều 10</w:t>
      </w:r>
      <w:r>
        <w:t xml:space="preserve">.</w:t>
      </w:r>
    </w:p>
    <w:p>
      <w:pPr>
        <w:pStyle w:val="Normal(Web)"/>
        <w:divId w:val="27"/>
        <w:rPr>
          <w:vanish w:val="0"/>
        </w:rPr>
      </w:pPr>
      <w:r>
        <w:t xml:space="preserve">5</w:t>
      </w:r>
      <w:r>
        <w:t xml:space="preserve">. </w:t>
      </w:r>
      <w:r>
        <w:t xml:space="preserve">Bãi</w:t>
      </w:r>
      <w:r>
        <w:t xml:space="preserve"> bỏ khoản 4 Điều 12</w:t>
      </w:r>
      <w:r>
        <w:t xml:space="preserve">.</w:t>
      </w:r>
    </w:p>
    <w:p>
      <w:pPr>
        <w:pStyle w:val="Normal(Web)"/>
        <w:divId w:val="28"/>
        <w:rPr>
          <w:vanish w:val="0"/>
        </w:rPr>
      </w:pPr>
      <w:r>
        <w:t xml:space="preserve">6</w:t>
      </w:r>
      <w:r>
        <w:t xml:space="preserve">. Điều 13 được sửa đổi, bổ sung tại khoản 2, khoản 3 như sau: </w:t>
      </w:r>
    </w:p>
    <w:p>
      <w:pPr>
        <w:pStyle w:val="Normal(Web)"/>
        <w:divId w:val="29"/>
        <w:rPr>
          <w:vanish w:val="0"/>
        </w:rPr>
      </w:pPr>
      <w:r>
        <w:t xml:space="preserve">“2. Hồ sơ đề nghị cấp giấy phép kinh doanh karaoke, vũ trường thực hiện theo quy định tại điểm g, điểm i khoản 6 Điều 2</w:t>
      </w:r>
      <w:r>
        <w:t xml:space="preserve">Nghị định số 01/2012/NĐ-CP ngày 04 tháng 01 năm 2012 của Chính phủ sửa đổi, bổ sung, thay thế hoặc bãi bỏ, huỷ bỏ các quy định có liên quan đến thủ tục hành chính thuộc phạm vi chức năng quản lý của Bộ Văn hoá, Thể thao và Du lịch.</w:t>
      </w:r>
    </w:p>
    <w:p>
      <w:pPr>
        <w:pStyle w:val="Normal(Web)"/>
        <w:divId w:val="30"/>
        <w:rPr>
          <w:vanish w:val="0"/>
        </w:rPr>
      </w:pPr>
      <w:r>
        <w:t xml:space="preserve">Đơn đề nghị cấp giấy phép kinh doanh karaoke (Mẫu 3).</w:t>
      </w:r>
    </w:p>
    <w:p>
      <w:pPr>
        <w:pStyle w:val="Normal(Web)"/>
        <w:divId w:val="31"/>
        <w:rPr>
          <w:vanish w:val="0"/>
        </w:rPr>
      </w:pPr>
      <w:r>
        <w:t xml:space="preserve">3. Cơ quan cấp giấy phép kinh doanh có trách nhiệm kiểm tra điều kiện thực tế của người xin giấy phép kinh doanh và đối chiếu với quy hoạch để cấp giấy phép.”. </w:t>
      </w:r>
    </w:p>
    <w:p>
      <w:pPr>
        <w:pStyle w:val="Normal(Web)"/>
        <w:divId w:val="32"/>
        <w:rPr>
          <w:vanish w:val="0"/>
        </w:rPr>
      </w:pPr>
      <w:r>
        <w:t xml:space="preserve">7. Bổ sung khoản 4 Điều 13 như sau:</w:t>
      </w:r>
    </w:p>
    <w:p>
      <w:pPr>
        <w:pStyle w:val="Normal(Web)"/>
        <w:divId w:val="33"/>
        <w:rPr>
          <w:vanish w:val="0"/>
        </w:rPr>
      </w:pPr>
      <w:r>
        <w:t xml:space="preserve">“4. </w:t>
      </w:r>
      <w:r>
        <w:t xml:space="preserve">Tổ chức, cá nhân đề nghị cấp </w:t>
      </w:r>
      <w:r>
        <w:t xml:space="preserve">giấy </w:t>
      </w:r>
      <w:r>
        <w:t xml:space="preserve">phép nộp lệ phí theo quy định của Bộ Tài chính tại thời điểm đề nghị cấp phép</w:t>
      </w:r>
      <w:r>
        <w:t xml:space="preserve">.”.</w:t>
      </w:r>
    </w:p>
    <w:p>
      <w:pPr>
        <w:pStyle w:val="Normal(Web)"/>
        <w:divId w:val="34"/>
        <w:rPr>
          <w:vanish w:val="0"/>
        </w:rPr>
      </w:pPr>
      <w:r>
        <w:rPr>
          <w:b/>
        </w:rPr>
        <w:t xml:space="preserve">Điều </w:t>
      </w:r>
      <w:r>
        <w:rPr>
          <w:b/>
        </w:rPr>
        <w:t xml:space="preserve">2</w:t>
      </w:r>
      <w:r>
        <w:rPr>
          <w:b/>
        </w:rPr>
        <w:t xml:space="preserve">. Sửa đổi</w:t>
      </w:r>
      <w:r>
        <w:rPr>
          <w:b/>
        </w:rPr>
        <w:t xml:space="preserve"> một số điều của</w:t>
      </w:r>
      <w:r>
        <w:rPr>
          <w:b/>
        </w:rPr>
        <w:t xml:space="preserve">Thông tư số 07/2001/TT-BVHTTDL ngày 07</w:t>
      </w:r>
      <w:r>
        <w:rPr>
          <w:b/>
        </w:rPr>
        <w:t xml:space="preserve"> tháng </w:t>
      </w:r>
      <w:r>
        <w:rPr>
          <w:b/>
        </w:rPr>
        <w:t xml:space="preserve">6</w:t>
      </w:r>
      <w:r>
        <w:rPr>
          <w:b/>
        </w:rPr>
        <w:t xml:space="preserve"> năm </w:t>
      </w:r>
      <w:r>
        <w:rPr>
          <w:b/>
        </w:rPr>
        <w:t xml:space="preserve">2011 của</w:t>
      </w:r>
      <w:r>
        <w:rPr>
          <w:b/>
        </w:rPr>
        <w:t xml:space="preserve"> Bộ trưởng</w:t>
      </w:r>
      <w:r>
        <w:rPr>
          <w:b/>
        </w:rPr>
        <w:t xml:space="preserve"> Bộ Văn hoá</w:t>
      </w:r>
      <w:r>
        <w:rPr>
          <w:b/>
        </w:rPr>
        <w:t xml:space="preserve">,</w:t>
      </w:r>
      <w:r>
        <w:rPr>
          <w:b/>
        </w:rPr>
        <w:t xml:space="preserve"> Thể thao và Du lịch sửa đổi</w:t>
      </w:r>
      <w:r>
        <w:rPr>
          <w:b/>
        </w:rPr>
        <w:t xml:space="preserve">,</w:t>
      </w:r>
      <w:r>
        <w:rPr>
          <w:b/>
        </w:rPr>
        <w:t xml:space="preserve"> bổ sung, thay thế hoặc bãi bỏ, huỷ bỏ các quy định liên quan đến thủ tục hành </w:t>
      </w:r>
      <w:r>
        <w:rPr>
          <w:b/>
        </w:rPr>
        <w:t xml:space="preserve">chí</w:t>
      </w:r>
      <w:r>
        <w:rPr>
          <w:b/>
        </w:rPr>
        <w:t xml:space="preserve">nh</w:t>
      </w:r>
      <w:r>
        <w:rPr>
          <w:b/>
        </w:rPr>
        <w:t xml:space="preserve"> thuộc phạm vi chức năng quản lý của Bộ Văn hoá, Thể thao và Du lịch </w:t>
      </w:r>
    </w:p>
    <w:p>
      <w:pPr>
        <w:pStyle w:val="Normal(Web)"/>
        <w:divId w:val="35"/>
        <w:rPr>
          <w:vanish w:val="0"/>
        </w:rPr>
      </w:pPr>
      <w:r>
        <w:rPr>
          <w:b/>
        </w:rPr>
        <w:t xml:space="preserve">1. Mẫu 23 được sửa đổi như sau:</w:t>
      </w:r>
    </w:p>
    <w:p>
      <w:pPr>
        <w:pStyle w:val="Normal(Web)"/>
        <w:divId w:val="36"/>
        <w:rPr>
          <w:vanish w:val="0"/>
        </w:rPr>
      </w:pPr>
      <w:r>
        <w:t xml:space="preserve">Bỏ điểm 3 “Người điều hành hoạt động trực tiếp tại phòng khiêu vũ”.</w:t>
      </w:r>
    </w:p>
    <w:p>
      <w:pPr>
        <w:pStyle w:val="Normal(Web)"/>
        <w:divId w:val="37"/>
        <w:rPr>
          <w:vanish w:val="0"/>
        </w:rPr>
      </w:pPr>
      <w:r>
        <w:t xml:space="preserve">Đơn đề nghị cấp Giấy phép kinh doanh vũ trường (Mẫu 4).</w:t>
      </w:r>
    </w:p>
    <w:p>
      <w:pPr>
        <w:pStyle w:val="Normal(Web)"/>
        <w:divId w:val="38"/>
        <w:rPr>
          <w:vanish w:val="0"/>
        </w:rPr>
      </w:pPr>
      <w:r>
        <w:rPr>
          <w:b/>
        </w:rPr>
        <w:t xml:space="preserve">2. Mẫu 24 được sửa đổi như sau:</w:t>
      </w:r>
    </w:p>
    <w:p>
      <w:pPr>
        <w:pStyle w:val="Normal(Web)"/>
        <w:divId w:val="39"/>
        <w:rPr>
          <w:vanish w:val="0"/>
        </w:rPr>
      </w:pPr>
      <w:r>
        <w:t xml:space="preserve">Bỏ cụm từ “3. Người điều hành hoạt động trực tiếp tại phòng khiêu vũ phải có trình độ trung cấp chuyên ngành văn hóa - nghệ thuật trở lên” và cụm từ “Giấy phép này có giá trị đến hết ngày … tháng … năm ...”.</w:t>
      </w:r>
    </w:p>
    <w:p>
      <w:pPr>
        <w:pStyle w:val="Normal(Web)"/>
        <w:divId w:val="40"/>
        <w:rPr>
          <w:vanish w:val="0"/>
        </w:rPr>
      </w:pPr>
      <w:r>
        <w:t xml:space="preserve">Giấy phép kinh doanh vũ trường (Mẫu 5).</w:t>
      </w:r>
    </w:p>
    <w:p>
      <w:pPr>
        <w:pStyle w:val="Normal(Web)"/>
        <w:divId w:val="41"/>
        <w:rPr>
          <w:vanish w:val="0"/>
        </w:rPr>
      </w:pPr>
      <w:r>
        <w:rPr>
          <w:b/>
        </w:rPr>
        <w:t xml:space="preserve">Điều </w:t>
      </w:r>
      <w:r>
        <w:rPr>
          <w:b/>
        </w:rPr>
        <w:t xml:space="preserve">3</w:t>
      </w:r>
      <w:r>
        <w:rPr>
          <w:b/>
        </w:rPr>
        <w:t xml:space="preserve">. Sửa đổi</w:t>
      </w:r>
      <w:r>
        <w:rPr>
          <w:b/>
        </w:rPr>
        <w:t xml:space="preserve"> một số điều của</w:t>
      </w:r>
      <w:r>
        <w:rPr>
          <w:b/>
        </w:rPr>
        <w:t xml:space="preserve">Quyết định số 55/1999/QĐ-BVHTT ngày 05 tháng 8 năm 1999 của Bộ trưởng Bộ Văn hoá-Thông tin ban hành Quy chế sản xuất, xuất khẩu, nhập khẩu, lưu hành, kinh doanh băng âm thanh, đĩa âm thanh, băng hình, đĩa hình ca nhạc</w:t>
      </w:r>
      <w:r>
        <w:rPr>
          <w:b/>
        </w:rPr>
        <w:t xml:space="preserve">,</w:t>
      </w:r>
      <w:r>
        <w:rPr>
          <w:b/>
        </w:rPr>
        <w:t xml:space="preserve"> sân khấu</w:t>
      </w:r>
    </w:p>
    <w:p>
      <w:pPr>
        <w:pStyle w:val="Normal(Web)"/>
        <w:divId w:val="42"/>
        <w:rPr>
          <w:vanish w:val="0"/>
        </w:rPr>
      </w:pPr>
      <w:r>
        <w:t xml:space="preserve">Bãi bỏ khoản 1 và khoản 2 Điều 9 Quy chế sản xuất, xuất khẩu, nhập khẩu, lưu hành, kinh doanh băng âm thanh, đĩa âm thanh, băng hình, đĩa hình ca nhạc, sân khấu ban hành kèm theo Quyết định số 55/1999/QĐ-BVHTT.</w:t>
      </w:r>
    </w:p>
    <w:p>
      <w:pPr>
        <w:pStyle w:val="Normal(Web)"/>
        <w:divId w:val="43"/>
        <w:rPr>
          <w:vanish w:val="0"/>
        </w:rPr>
      </w:pPr>
      <w:r>
        <w:rPr>
          <w:b/>
        </w:rPr>
        <w:t xml:space="preserve">Điều 4. Điều khoản thi hành</w:t>
      </w:r>
    </w:p>
    <w:p>
      <w:pPr>
        <w:pStyle w:val="Normal(Web)"/>
        <w:divId w:val="44"/>
        <w:rPr>
          <w:vanish w:val="0"/>
        </w:rPr>
      </w:pPr>
      <w:r>
        <w:t xml:space="preserve">1. Thông tư này có hiệu lực thi hành từ ngày</w:t>
      </w:r>
      <w:r>
        <w:t xml:space="preserve"> 15</w:t>
      </w:r>
      <w:r>
        <w:t xml:space="preserve"> tháng</w:t>
      </w:r>
      <w:r>
        <w:t xml:space="preserve"> 6</w:t>
      </w:r>
      <w:r>
        <w:t xml:space="preserve"> năm 2012.</w:t>
      </w:r>
    </w:p>
    <w:p>
      <w:pPr>
        <w:pStyle w:val="Normal(Web)"/>
        <w:divId w:val="45"/>
        <w:rPr>
          <w:vanish w:val="0"/>
        </w:rPr>
      </w:pPr>
      <w:r>
        <w:t xml:space="preserve">2</w:t>
      </w:r>
      <w:r>
        <w:t xml:space="preserve">. Thủ trưởng các cơ quan, đơn vị thuộc Bộ, Giám đốc các Sở Văn hóa, Thể thao và Du lịch và các tổ chức, cá nhân có liên quan chịu trách nhiệm thi hành Thông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6"/>
              <w:rPr>
                <w:vanish w:val="0"/>
              </w:rPr>
            </w:pPr>
            <w:r>
              <w:rPr>
                <w:b/>
                <w:i/>
              </w:rPr>
              <w:t xml:space="preserve">Nơi nhận:</w:t>
            </w:r>
          </w:p>
          <w:p>
            <w:pPr>
              <w:pStyle w:val="Normal(Web)"/>
              <w:divId w:val="47"/>
              <w:rPr>
                <w:vanish w:val="0"/>
              </w:rPr>
            </w:pPr>
            <w:r>
              <w:t xml:space="preserve">- Thủ tướng Chính phủ;</w:t>
            </w:r>
          </w:p>
          <w:p>
            <w:pPr>
              <w:pStyle w:val="Normal(Web)"/>
              <w:divId w:val="48"/>
              <w:rPr>
                <w:vanish w:val="0"/>
              </w:rPr>
            </w:pPr>
            <w:r>
              <w:t xml:space="preserve">- Các Phó Thủ tướng Chính phủ;</w:t>
            </w:r>
          </w:p>
          <w:p>
            <w:pPr>
              <w:pStyle w:val="Normal(Web)"/>
              <w:divId w:val="49"/>
              <w:rPr>
                <w:vanish w:val="0"/>
              </w:rPr>
            </w:pPr>
            <w:r>
              <w:t xml:space="preserve">- Văn phòng Quốc hội;</w:t>
            </w:r>
          </w:p>
          <w:p>
            <w:pPr>
              <w:pStyle w:val="Normal(Web)"/>
              <w:divId w:val="50"/>
              <w:rPr>
                <w:vanish w:val="0"/>
              </w:rPr>
            </w:pPr>
            <w:r>
              <w:t xml:space="preserve">- Văn phòng Chủ tịch nước;</w:t>
            </w:r>
          </w:p>
          <w:p>
            <w:pPr>
              <w:pStyle w:val="Normal(Web)"/>
              <w:divId w:val="51"/>
              <w:rPr>
                <w:vanish w:val="0"/>
              </w:rPr>
            </w:pPr>
            <w:r>
              <w:t xml:space="preserve">- Văn phòng Chính phủ;</w:t>
            </w:r>
          </w:p>
          <w:p>
            <w:pPr>
              <w:pStyle w:val="Normal(Web)"/>
              <w:divId w:val="52"/>
              <w:rPr>
                <w:vanish w:val="0"/>
              </w:rPr>
            </w:pPr>
            <w:r>
              <w:t xml:space="preserve">- Văn phòng TW Đảng và các Ban của Đảng;</w:t>
            </w:r>
          </w:p>
          <w:p>
            <w:pPr>
              <w:pStyle w:val="Normal(Web)"/>
              <w:divId w:val="53"/>
              <w:rPr>
                <w:vanish w:val="0"/>
              </w:rPr>
            </w:pPr>
            <w:r>
              <w:t xml:space="preserve">- Các Bộ, cơ quan ngang Bộ, cơ quan thuộc Chính phủ;</w:t>
            </w:r>
          </w:p>
          <w:p>
            <w:pPr>
              <w:pStyle w:val="Normal(Web)"/>
              <w:divId w:val="54"/>
              <w:rPr>
                <w:vanish w:val="0"/>
              </w:rPr>
            </w:pPr>
            <w:r>
              <w:t xml:space="preserve">- Viện Kiểm sát nhân dân tối cao;</w:t>
            </w:r>
          </w:p>
          <w:p>
            <w:pPr>
              <w:pStyle w:val="Normal(Web)"/>
              <w:divId w:val="55"/>
              <w:rPr>
                <w:vanish w:val="0"/>
              </w:rPr>
            </w:pPr>
            <w:r>
              <w:t xml:space="preserve">- Toà án nhân dân tối cao;</w:t>
            </w:r>
          </w:p>
          <w:p>
            <w:pPr>
              <w:pStyle w:val="Normal(Web)"/>
              <w:divId w:val="56"/>
              <w:rPr>
                <w:vanish w:val="0"/>
              </w:rPr>
            </w:pPr>
            <w:r>
              <w:t xml:space="preserve">- UBND các tỉnh, thành phố trực thuộc trung ương;</w:t>
            </w:r>
          </w:p>
          <w:p>
            <w:pPr>
              <w:pStyle w:val="Normal(Web)"/>
              <w:divId w:val="57"/>
              <w:rPr>
                <w:vanish w:val="0"/>
              </w:rPr>
            </w:pPr>
            <w:r>
              <w:t xml:space="preserve">- Các Sở Văn hoá, Thể thao và Du lịch;</w:t>
            </w:r>
          </w:p>
          <w:p>
            <w:pPr>
              <w:pStyle w:val="Normal(Web)"/>
              <w:divId w:val="58"/>
              <w:rPr>
                <w:vanish w:val="0"/>
              </w:rPr>
            </w:pPr>
            <w:r>
              <w:t xml:space="preserve">- Công báo, Cổng thông tin điện tử Chính phủ;</w:t>
            </w:r>
          </w:p>
          <w:p>
            <w:pPr>
              <w:pStyle w:val="Normal(Web)"/>
              <w:divId w:val="59"/>
              <w:rPr>
                <w:vanish w:val="0"/>
              </w:rPr>
            </w:pPr>
            <w:r>
              <w:t xml:space="preserve">- Cục Kiểm tra VBQPPL (Bộ Tư pháp);</w:t>
            </w:r>
          </w:p>
          <w:p>
            <w:pPr>
              <w:pStyle w:val="Normal(Web)"/>
              <w:divId w:val="60"/>
              <w:rPr>
                <w:vanish w:val="0"/>
              </w:rPr>
            </w:pPr>
            <w:r>
              <w:t xml:space="preserve">- Các cơ quan, đơn vị thuộc Bộ;</w:t>
            </w:r>
          </w:p>
          <w:p>
            <w:pPr>
              <w:pStyle w:val="Normal(Web)"/>
              <w:divId w:val="61"/>
              <w:rPr>
                <w:vanish w:val="0"/>
              </w:rPr>
            </w:pPr>
            <w:r>
              <w:t xml:space="preserve">- Lưu: VT, VP (KSTTHC), H (200).</w:t>
            </w:r>
          </w:p>
        </w:tc>
        <w:tc>
          <w:tcPr>
            <w:tcW w:w="0" w:type="auto"/>
            <w:shd w:val="clear" w:color="auto" w:fill="auto"/>
            <w:vAlign w:val="center"/>
          </w:tcPr>
          <w:p>
            <w:pPr>
              <w:pStyle w:val="Normal(Web)"/>
              <w:divId w:val="62"/>
              <w:jc w:val="center"/>
              <w:rPr>
                <w:vanish w:val="0"/>
              </w:rPr>
            </w:pPr>
            <w:r>
              <w:rPr>
                <w:b/>
              </w:rPr>
              <w:t xml:space="preserve">BỘ TRƯỞNG</w:t>
            </w:r>
          </w:p>
          <w:p>
            <w:pPr>
              <w:pStyle w:val="Normal(Web)"/>
              <w:divId w:val="63"/>
              <w:jc w:val="center"/>
              <w:rPr>
                <w:vanish w:val="0"/>
              </w:rPr>
            </w:pPr>
            <w:r>
              <w:rPr>
                <w:b/>
              </w:rPr>
              <w:t xml:space="preserve">(đã ký)</w:t>
            </w:r>
          </w:p>
          <w:p>
            <w:pPr>
              <w:pStyle w:val="Normal(Web)"/>
              <w:divId w:val="64"/>
              <w:jc w:val="center"/>
              <w:rPr>
                <w:vanish w:val="0"/>
              </w:rPr>
            </w:pPr>
            <w:r>
              <w:rPr>
                <w:b/>
              </w:rPr>
              <w:t xml:space="preserve">Hoàng Tuấn Anh</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12-tt-bvhttdl-cua-bo-van-hoa--the-thao-va-du-lich---sua-doi--bo-sung-mot-so-dieu-cua-thong-tu-so-04-2009-tt-bvhttdl----thong-tu-so-07-2011-tt-bvhttdl--quyet-dinh-so-55-1999-qd-bvhtt.aspx" TargetMode="External" /><Relationship Id="rId4" Type="http://schemas.openxmlformats.org/officeDocument/2006/relationships/hyperlink" Target="/thong-tu-so-04-2009-tt-bvhttdl-cua-bo-van-hoa--the-thao-va-du-lich---quy-dinh-chi-tiet-thi-hanh-mot-so-quy-dinh-tai-quy-che-hoat-dong-van-hoa-va-kinh-doanh-dich-vu-van-hoa-cong-cong-ban-hanh-kem-theo-.aspx" TargetMode="External" /><Relationship Id="rId5" Type="http://schemas.openxmlformats.org/officeDocument/2006/relationships/hyperlink" Target="/nghi-dinh-so-24-2009-nd-cp-cua-chinh-phu---quy-dinh-chi-tiet-va-bien-phap-thi-hanh-luat-ban-hanh-van-ban-quy-pham-phap-luat.aspx" TargetMode="External" /><Relationship Id="rId6" Type="http://schemas.openxmlformats.org/officeDocument/2006/relationships/hyperlink" Target="/nghi-dinh-185-2007-nd-cp-chuc-nang--nhiem-vu--quyen-han-co-cau-to-chuc-bo-van-hoa--the-thao-va-du-lich.aspx" TargetMode="External" /><Relationship Id="rId7" Type="http://schemas.openxmlformats.org/officeDocument/2006/relationships/hyperlink" Target="/nghi-dinh-so-01-2012-nd-cp-sua-doi--bo-sung-pham-vi-chuc-nang-cua-bo-van-hoa--the-thao-va-du-lich.aspx" TargetMode="External" /><Relationship Id="rId8" Type="http://schemas.openxmlformats.org/officeDocument/2006/relationships/hyperlink" Target="/thong-tu-07-2011-tt-bvhttdl-sua-doi--thay-the-hoac-bai-bo--thu-tuc-hanh-chinh.aspx" TargetMode="External" /><Relationship Id="rId9" Type="http://schemas.openxmlformats.org/officeDocument/2006/relationships/hyperlink" Target="/nghi-dinh-so-103-2009-nd-cp-ban-hanh-quy-che-hoat-dong-van-hoa-va-kinh-doanh-dich-vu-van-hoa-cong-c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2022-06-21T16:34:07Z</dcterms:created>
  <dcterms:modified xsi:type="dcterms:W3CDTF">2022-06-21T16:34:07Z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2022-06-21T16:34:07Z</dcterms:created>
  <dcterms:modified xsi:type="dcterms:W3CDTF">2022-06-21T16:34:07Z</dcterms:modified>
</cp:coreProperties>
</file>