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37/2019/TT-BTC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6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VỀ CHẾ ĐỘ TÀI CHÍNH ĐỐI VỚI CHƯƠNG TRÌNH, DỰ ÁN TÀI CHÍNH VI MÔ CỦA TỔ CHỨC CHÍNH TRỊ, TỔ CHỨC CHÍNH TRỊ - XÃ HỘI, TỔ CHỨC PHI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87/2017/NĐ-CP </w:t>
        </w:r>
      </w:hyperlink>
      <w:r>
        <w:rPr>
          <w:i/>
        </w:rPr>
        <w:t xml:space="preserve"> ngày 26 tháng 7 năm 2017 của Chính phủ quy định chức năng, nhiệm vụ, quyền hạn 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20/2017/QĐ-TTg ngày 12 tháng 6 năm 2017 của Thủ tướng Chính phủ quy định về hoạt động của chương trình, dự án tài chính vi mô của tổ chức chính trị, tổ chức chính trị - xã hội, tổ chức phi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Tài chính các ngân hàng và tổ chức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ban hành Thông tư hướng dẫn về chế độ tài chính đối với chương trình, dự án tài chính vi mô của tổ chức chính trị, tổ chức chính trị - xã hội, tổ chức phi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về chế độ tài chính đối với chương trình, dự án tài chính vi mô của tổ chức chính trị, tổ chức chính trị - xã hội, tổ chức phi chính phủ(sau đây viết tắt là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dự án TCVMđược thành lập và tổ chức hoạt động tại Việt Nam theo quy định tại Quyết định số 20/2017/QĐ-TTg ngày 12 tháng 6 năm 2017 của Thủ tướng Chính phủ quy định về hoạt động của chương trình, dự án tài chính vi mô của tổ chức chính trị, tổ chức chính trị - xã hội, tổ chức phi chính phủ (sau đây viết tắt là Quyết định số 20/2017/QĐ-TTg) và văn bản quy phạm pháp luật khác có liên quan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Vốn </w:t>
      </w:r>
      <w:r>
        <w:rPr>
          <w:b/>
        </w:rPr>
        <w:t xml:space="preserve">của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Vốn của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Vốn thực hiện chương trình, dự án TCVM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do tổ chức chính trị, tổ chức chính trị - xã hội, tổ chức phi chính phủ giao, cấp cho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góp của các tổ chức, cá nhân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viện trợ, tài trợ không hoàn lại của các tổ chức,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Chênh lệch đánh giá lại tài sản là chênh lệch giữa giá trị ghi sổ của tài sản với giá trị đánh giá lại tài sản khi có quyết định của Nhà nước hoặc trường hợp đánh giá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Quỹ được giao để chuẩn bị và thực hiện chương trình, dự án TCVM và các quỹ trích lập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Lợi nhuận để lại lũy kế; lỗ lũy kế chưa xử lý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Vốn khác thuộc sở hữu hợp pháp của chương trình, dự án TCVM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Vốn huy động dưới các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Nhận tiền gửi tiết kiệm bắt buộc, tiền gửi tiết kiệm tự nguyện của khách hàng tài chính vi mô theo quy định của chương trình, dự án TCVM. Tổng mức tiền gửi tiết kiệm tự nguyện không vượt quá 30% tổng vốn được cấp của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Vốn nhận uỷ thác cho vay vốn của Chính phủ, của các tổ chức, cá nhân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Vốn vay của tổ chức tín dụng, tổ chức tài chính, tổ chức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Tiếp nhận vốn tài trợ, viện trợ không hoàn lại, có hoàn lại của Chính phủ, tổ chức, cá nhân trong nước và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Vốn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Quản lý và sử dụng vốn, tài sản của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dự án TCVM có trách nhiệm quản lý và sử dụng vốn, tài sản của chương trình, dự án TCVM theo quy định của pháp luật và một số hướng dẫn cụ thể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hạch toán độc lập đối với vốn, tài sản khác của tổ chức chính trị, tổ chức chính trị - xã hội, tổ chức phi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Chương trình, dự án TCVM thực hiện hạch toán theo quy định của Bộ Tài chính; phản ánh đầy đủ, chính xác, kịp thời tình hình sử dụng, biến động của vốn và tài sản trong quá trình kinh doanh; quy định rõ trách nhiệm và hình thức xử lý đối với từng bộ phận, cá nhân trong trường hợp làm hư hỏng, mất mát tài sản, tiền vốn của </w:t>
      </w:r>
      <w:r>
        <w:t xml:space="preserve">chương trình, dự án TCVM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tài sản đi thuê,chương trình, dự án TCVM có trách nhiệm quản lý, bảo quản hoặc sử dụng theo thoả thuận phù hợp với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trích lập và sử dụng dự phòng đối với các khoản cho vay:</w:t>
      </w:r>
      <w:r>
        <w:t xml:space="preserve">chương trình, dự án TCVM</w:t>
      </w:r>
      <w:r>
        <w:t xml:space="preserve">thực hiện theo quy định đối với tổ chức tài chính vi mô.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của chương trình, dự án TCVM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từ lãi và các khoản thu nhập tương tự,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lãi tiền gửi tại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lãi cho vay của khách hàng tài chính vi mô.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khác từ hoạt động tín dụng </w:t>
      </w:r>
      <w:r>
        <w:t xml:space="preserve">theo quy định của pháp luật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từ hoạt động dịch vụ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từ dịch vụ nhận uỷ thác cho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từ dịch vụ tư vấn, hỗ trợ, đào tạo cho các khách hàng tài chính vi mô liên quan đến lĩnh vực hoạt động tài chính vi mô.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từ đại lý cung cấp các sản phẩm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từ chênh lệch tỷ giá theo quy định tại chuẩn mực kế toán và các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từ đóng góp tự nguyện, tài trợ hợp pháp của tổ chức, cá nhân trong và ngoài nước được hạch toán vào thu nhập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Các khoản thu khác theo quy định của pháp luật,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hoàn nhập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từ các khoản nợ đã được xử lý bằng dự phòng rủi ro, các khoản nợ đã xóa, các khoản nợ đã mất chủ nợ hoặc không xác định được chủ nợ nay thu hồi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từ tiền phạt khách hàng, tiền khách hàng bồi thường do vi phạm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do bảo hiểm bồi thường sau khi đã bù đắp khoản tổn thất đã mua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 từ thanh lý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Nguyên tắc ghi nhận doanh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ghi nhận và hạch toán doanh thu, thu nhập tính thuế thu nhập doanh nghiệp được thực hiện phù hợp với chuẩn mực kế toán Việt Nam, Luật thuế thu nhập doanh nghiệp, các văn bản hướng dẫn Luật thuế thu nhập doanh nghiệp và các văn bản quy phạm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thu nhập lãi và các khoản thu nhập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lãi từ hoạt động cho vay vi mô: chương trình, dự án TCVM hạch toán số lãi phải thu phát sinh trong kỳ vào thu nhập đối với các khoản cho vay trong hạn. Đối với số lãi phải thu của các khoản cho vay quá hạn, chương trình, dự án TCVM không phải hạch toán thu nhập mà theo dõi ngoại bảng để đôn đốc thu, khi thu được thì hạch toán vào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lãi tiền gửi: là số lãi phải thu từ tiền gửi của chương trình, dự án TCVM tại các tổ chức tín dụng trong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từ nhận tài trợ không hoàn lại để thực hiện các chương trình phát triển, các hoạt động của chương trình, dự án TCVM ngoài các khoản thu hộ, chi hộ: là số tiền thực tế thu được tại thời điểm nhận tài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khoản thu về chênh lệch tỷ giá do đánh giá lại ngoại tệ và vàng:chương trình, dự án TCVM thực hiện ghi nhận theo quy định tại chuẩn mực kế toán và các quy định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doanh thu từ các hoạt động còn lại: doanh thu là toàn bộ tiền bán sản phẩm, hàng hoá, cung ứng dịch vụ phát sinh trong kỳ được khách hàng chấp nhận thanh toán (nếu có chứng từ hợp lệ) không phân biệt đã thu hay chưa thu được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các khoản doanh thu phải thu đã hạch toán vào thu nhập nhưng được đánh giá không thu được hoặc đến kỳ hạn thu không thu được thì chương trình, dự án TCVM hạch toán giảm doanh thu nếu cùng kỳ kế toán hoặc hạch toán vào chi phí nếu khác kỳ kế toán và theo dõi ngoại bảng để đôn đốc thu. </w:t>
      </w:r>
      <w:r>
        <w:t xml:space="preserve">Khi thu được thì hạch toán vào thu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của chương trình, dự án TCVM bao gồm các khoản chi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trả lãi và các khoản chi phí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trả lãi tiền gửi tiết kiệm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trả lãi tiền gửi tiết kiệm tự nguyện.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trả lãi tiền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khác cho hoạt động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hoạt động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dịch vụ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trả phí uỷ thác cho vay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cho dịch vụ tư vấn tài chính liên quan đến lĩnh vực hoạt động tài chính vi mô.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Chi hoa hồng cho đại lý, môi giới, ủy thác đối với các hoạt động đại lý môi giới, ủy thác được pháp luật cho phép.</w:t>
      </w:r>
      <w:r>
        <w:t xml:space="preserve">Trong đó, đối với chi hoa hồng môi giới thực hiện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trình, dự án TCVM</w:t>
      </w:r>
      <w:r>
        <w:t xml:space="preserve">được chi hoa hồng môi giới đối với hoạt động môi giới được pháp luật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Hoa hồng môi giới để chi cho bên thứ ba (làm trung gian), không được áp dụng cho các đối tượng là đại lý của </w:t>
      </w:r>
      <w:r>
        <w:t xml:space="preserve">chương trình, dự án TCVM</w:t>
      </w:r>
      <w:r>
        <w:t xml:space="preserve">; các chức danh quản lý, nhân viên của </w:t>
      </w:r>
      <w:r>
        <w:t xml:space="preserve">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chi hoa hồng môi giới phải căn cứ vào hợp đồng hoặc giấy xác nhận giữa </w:t>
      </w:r>
      <w:r>
        <w:t xml:space="preserve">chương trình, dự án TCVM</w:t>
      </w:r>
      <w:r>
        <w:t xml:space="preserve">và bên nhận hoa hồng môi giới, trong đó phải có các nội dung cơ bản: tên của bên nhận hoa hồng; nội dung chi; mức chi; phương thức thanh toán; thời gian thực hiện và kết thúc; trách nhiệm của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w:t>
      </w:r>
      <w:r>
        <w:t xml:space="preserve">k</w:t>
      </w:r>
      <w:r>
        <w:t xml:space="preserve">hoản chi môi giới để cho thuê tài sản (bao gồm cả tài sản xiết nợ, gán nợ</w:t>
      </w:r>
      <w:r>
        <w:t xml:space="preserve">(nếu có)</w:t>
      </w:r>
      <w:r>
        <w:t xml:space="preserve">): mức chi môi giới để cho thuê mỗi tài sản của </w:t>
      </w:r>
      <w:r>
        <w:t xml:space="preserve">chương trình, dự án TCVM</w:t>
      </w:r>
      <w:r>
        <w:t xml:space="preserve">tối đa không quá 5% tổng số tiền thu được từ hoạt động cho thuê tài sản đó do môi giới mang lại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w:t>
      </w:r>
      <w:r>
        <w:t xml:space="preserve">k</w:t>
      </w:r>
      <w:r>
        <w:t xml:space="preserve">hoản chi môi giới bán tài sản thế chấp, cầm cố: mức chi hoa hồng môi giới bán mỗi tài sản thế chấp, cầm cố của </w:t>
      </w:r>
      <w:r>
        <w:t xml:space="preserve">chương trình, dự án TCVM</w:t>
      </w:r>
      <w:r>
        <w:t xml:space="preserve">không vượt quá 1% giá trị thực tế thu được từ tiền bán tài sản đó qua môi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trình, dự án TCVM</w:t>
      </w:r>
      <w:r>
        <w:t xml:space="preserve">xây dựng quy chế chi hoa hồng môi giới áp dụng thống nhất và công khai trong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cho hoạt động làm đại lý cung ứng dịch vụ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chênh lệch tỷ giá theo quy định tại chuẩn mực kế toán và các quy định của pháp luật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đóng góp, trả phí hỗ trợ hoạt động, quản lý, đào tạo cho tổ chức chính trị, tổ chức chính trị - xã hội, tổ chức phi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tài trợ cho các chương trình, các đề án, tổ chức, cá nhân hoạt động để hỗ trợ cộng đồng phù hợp với tôn chỉ, mục đích của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Chi nộp các khoản thuế, phí và lệ phí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cho cán bộ, nhân viên theo quy định của pháp luật, bao gồm các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tiền lương, tiền công và các khoản có tính chất lương,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tiền lương cho thành viên chuyên trách Ban quản lý, Ban chỉ đạo, Giám đốc, Ban kiểm soát, chi thù lao cho các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tiền lương và các khoản phụ cấp trả cho cán bộ nhân viên của chương trình, dự án TCVM căn cứ theo hợp đồng lao động hoặc thỏa ước lao động tập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các khoản đóng góp theo lương: chi nộp bảo hiểm xã hội, bảo hiểm y tế, bảo hiểm thất nghiệp, kinh phí công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trả trợ cấp mất việc làm cho người lao động theo quy định của pháp luật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trả phụ cấp đối với các trường hợp người quản lý, người lao động được tổ chức chính trị, tổ chức chính trị - xã hội, tổ chức phi chính phủ cử sang làm việc kiêm nhiệm tại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mua bảo hiểm tai nạn con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bảo hộ lao động đối với những đối tượng cần trang bị bảo hộ lao động trong khi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trang phục giao dịch cho cán bộ nhân viên làm việc trong chương trình, dự án TCVM theo chế độ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ăn ca</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Chi y tế bao gồm các khoản chi khám bệnh định kỳ cho người lao động, chi mua thuốc dự phòng và các khoản chi y tế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khoản chi khác cho người lao động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theo chế độ quy định đối với lao động nữ;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tiền nghỉ phép hàng năm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chi có tính chất phúc lợi chi trực tiếp cho người lao động theo quy định của pháp luật về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chi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Chi cho hoạt động quản lý, công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vật liệu, giấy tờ 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công tác phí, xăng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huấn luyện, đào tạo tăng cường năng lực cho cán bộ, nhân viên; bao gồm cả chi đào tạo cộng tác viên và khách hàng thuộc phạm vi hoạt động tài chính vi mô.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bưu phí và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công tác tuyên truyền, quảng cáo, tiếp thị, khuyến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mua tài liệu, sách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trả tiền điện, tiền nước, vệ sinh văn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hội nghị, lễ tân, khánh tiết, giao dịch đối ngoại.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Chi thuê tư vấn, chi thuê chuyên gia trong và ngoài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Chi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bảo vệ cơ quan, chi phòng cháy chữa cháy, chi an ninh,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công tác bảo vệ môi trường: Nếu số chi trong năm lớn và có hiệu quả trong nhiều năm thì được phân bổ cho các năm sau theo nguyên tắc thời gian phân bổ không vượt quá số năm thu nhận được hiệu quả từ khoản chi công tác bảo vệ môi trường và việc phân bổ không dẫn đến kết quả hoạt động tài chính của năm được phân bổ bị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khác </w:t>
      </w:r>
      <w:r>
        <w:t xml:space="preserve">theo quy định của pháp luật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Chi cho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khấu hao tài sản cố định sử dụng cho hoạt động kinh doanh thực hiện theo chế độ quản lý, sử dụng và trích khấu hao tài sản cố định đối với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bảo dưỡng, sửa chữa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mua sắm, sửa chữa công cụ, dụng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bảo hiểm tài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khác về tài sản </w:t>
      </w:r>
      <w:r>
        <w:t xml:space="preserve">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 Chi trích lập dự phòng theo quy định tại khoản 5, Điều 4,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Chi thuê tài sản bên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đóng phí hiệp hội ngành nghề mà chương trình, dự án TCVM tham gia theo mức phí do các hiệp hội này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cho công tác đảng, đoàn thể tại chương trình, dự án TCVM (phần chi ngoài kinh phí của tổ chức đảng, đoàn thể được chi từ nguồn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nhượng bán, thanh lý tài sản (nếu có) bao gồm cả giá trị còn lại của tài sản cố định được thanh lý, nhượng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cho việc thu hồi các khoản nợ đã xóa, chi phí thu hồi nợ xấu là các khoản chi cho việc thu hồi nợ bao gồm cả chi trả phí dịch vụ thu hồi nợ cho các tổ chức được phép thực hiện dịch vụ thu hồi nợ theo quy định của pháp luật, chi phí để thực hiện mua bán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xử lý khoản tổn thất tài sản còn lại: chương trình, dự án TCVM hạch toán vào chi phí giá trị tổn thất còn lại </w:t>
      </w:r>
      <w:r>
        <w:t xml:space="preserve">sau khi đã bù đắp bằng </w:t>
      </w:r>
      <w:r>
        <w:t xml:space="preserve">tiền bồi thường của cá nhân, tập thể, tổ chức bảo hiểm; sử dụng dự phòng được trích lập trong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các khoản đã hạch toán doanh thu nhưng thực tế không thu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công tác xã hội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Chi nộp phạt vi phạm hành chính trừ các khoản nộp phạt mà cá nhân phải nộp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các khoản nợ phải trả, đã xác định mất chủ nợ và hạch toán vào thu nhập nhưng sau đó lại xác định được chủ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trả tiền phạt, bồi thường do vi phạm hợp đồng kinh tế thuộc trách nhiệm của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án phí, lệ phí thi hành án thuộc trách nhiệm của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Nguyên tắc ghi nhận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Việc xác định chi phí khi tính thuế thu nhập doanh nghiệp được thực hiện </w:t>
      </w:r>
      <w:r>
        <w:t xml:space="preserve">theo quy định của</w:t>
      </w:r>
      <w:r>
        <w:t xml:space="preserve">Luật thuế thu nhập doanh nghiệp, các văn bản hướng dẫn Luật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phí của chương trình, dự án TCVM là các khoản chi phí phải chi thực tế phát sinh trong kỳ liên quan đến hoạt động kinh doanh của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chi phí được ghi nhận vào chi phí kinh doanh của chương trình, dự án TCVM phải tuân thủ nguyên tắc phù hợp giữa doanh thu và chi phí và có đủ hoá đơn, chứng từ hợp pháp theo quy định của pháp luật. Chương trình, dự án TCVM không được hạch toán vào chi phí các khoản chi do nguồn kinh phí khác đài thọ. Việc xác định và hạch toán chi phí được thực hiện phù hợp với chuẩn mực kế toán Việt Nam và các quy định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rPr>
          <w:b/>
        </w:rPr>
        <w:t xml:space="preserve">Chính sách thuế,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hương trình, dự án TCVM</w:t>
      </w:r>
      <w:r>
        <w:t xml:space="preserve">thực hiện theo quy định của pháp luật về thuế,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rPr>
          <w:b/>
        </w:rPr>
        <w:t xml:space="preserve">. Phân phối lợi nhuận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Lợi nhuận còn lại của chương trình, dự án TCVM sau khi thực hiện bù đắp lỗ năm trước(nếu có) và thực hiện nghĩa vụ đối với ngân sách nhà nước theo quy định của pháp luật do chương trình, dự án TCVM quyết định nhưng phải bảo đảm nguyên tắc không được chia hoặc sử dụng cho các hoạt động không phải là hoạt động tài chính vi mô dưới bất kỳ hình thức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1</w:t>
      </w:r>
      <w:r>
        <w:rPr>
          <w:b/>
        </w:rPr>
        <w:t xml:space="preserve">. Trách nhiệm của cơ quan quản lý và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 ban hành và giải đáp các vướng mắc về chế độ tài chính, hạch toán kế toán, báo cáo tài chính cho </w:t>
      </w:r>
      <w:r>
        <w:t xml:space="preserve">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Việt Nam chủ trì giám sát thực hiện việc thực hiện chế độ tài chính của chương trình, dự án TCVM; định kỳ hằng năm gửi báo cáo thông báo cho Bộ Tài chính về tình hình tài chính của chương trình, dự án TCVM và các vi phạm về chế độ tài chính của chương trình, dự án TCVM được phát hiện trong quá trình kiểm tra, thanh tra, giám sát (nếu có). Ngân hàng Nhà nước Việt Nam gửi Bộ Tài chính trước ngày 31 tháng 3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chính trị, tổ chức chính trị - xã hội, tổ chức phi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chính trị, tổ chức chính trị - xã hội, tổ chức phi chính phủ có chương trình, dự án TCVM thực hiện các trách nhiệm quy định tại Điều 20 Quyết định số 20/2017/QĐ-TTg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báo cáo theo quy định tại Điều 14 Quyết định số 20/2017/QĐ-TTg và quy định của pháp luật có liên quan, chịu trách nhiệm về tính chính xác, tính trung thực của các báo cáo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Chương trình, dự án TCVM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chế độ tài chính theo quy định của Quyết định số 20/2017/QĐ-TTg ; các nội dung hướng dẫn cụ thể tại Thông tư này và các văn bản quy phạm pháp luật về quản lý tài chính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chế độ báo cáo và hoàn toàn chịu trách nhiệm trước pháp luật về tính đầy đủ, kịp thời, chính xác của số liệu báo cáo theo quy định tại Quyết định số 20/2017/QĐ-TTg và hướng dẫn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2</w:t>
      </w:r>
      <w:r>
        <w:rPr>
          <w:b/>
        </w:rPr>
        <w:t xml:space="preserve">.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09 tháng 8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phản ánh về Bộ Tài chính để nghiên cứu,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Trung ương Đảng;</w:t>
            </w:r>
            <w:r>
              <w:rPr/>
              <w:br/>
            </w:r>
            <w:r>
              <w:t xml:space="preserve">- Văn phòng Tổng Bí thư;</w:t>
            </w:r>
            <w:r>
              <w:rPr/>
              <w:br/>
            </w:r>
            <w:r>
              <w:t xml:space="preserve">- Văn phòng Chủ tịch nước;</w:t>
            </w:r>
            <w:r>
              <w:rPr/>
              <w:br/>
            </w:r>
            <w:r>
              <w:t xml:space="preserve">- Văn phòng Quốc hội;</w:t>
            </w:r>
            <w:r>
              <w:rPr/>
              <w:br/>
            </w:r>
            <w:r>
              <w:t xml:space="preserve">- Văn phòng Chính phủ;</w:t>
            </w:r>
            <w:r>
              <w:rPr/>
              <w:br/>
            </w:r>
            <w:r>
              <w:t xml:space="preserve">- Văn phòng Ban chỉ đạo Trung ương về phòng chống tham nhũng;</w:t>
            </w:r>
            <w:r>
              <w:rPr/>
              <w:br/>
            </w:r>
            <w:r>
              <w:t xml:space="preserve">- Các Bộ, cơ quan ngang Bộ, cơ quan thuộc Chính phủ;</w:t>
            </w:r>
            <w:r>
              <w:rPr/>
              <w:br/>
            </w:r>
            <w:r>
              <w:t xml:space="preserve">- Viện Kiểm sát nhân dân tối cao;</w:t>
            </w:r>
            <w:r>
              <w:rPr/>
              <w:br/>
            </w:r>
            <w:r>
              <w:t xml:space="preserve">- Toà án nhân dân tối cao;</w:t>
            </w:r>
            <w:r>
              <w:rPr/>
              <w:br/>
            </w:r>
            <w:r>
              <w:t xml:space="preserve">- Kiểm toán nhà nước;</w:t>
            </w:r>
            <w:r>
              <w:rPr/>
              <w:br/>
            </w:r>
            <w:r>
              <w:t xml:space="preserve">- Cơ quan Trung ương của các đoàn thể</w:t>
            </w:r>
            <w:r>
              <w:t xml:space="preserve">;</w:t>
            </w:r>
            <w:r>
              <w:rPr/>
              <w:br/>
            </w:r>
            <w:r>
              <w:t xml:space="preserve">- UBND, Chi nhánh Ngân hàng nhà nước, Cục Thuế tỉnh, thành phố trực thuộc Trung ương;</w:t>
            </w:r>
            <w:r>
              <w:rPr/>
              <w:br/>
            </w:r>
            <w:r>
              <w:t xml:space="preserve">- Công báo;</w:t>
            </w:r>
            <w:r>
              <w:rPr/>
              <w:br/>
            </w:r>
            <w:r>
              <w:t xml:space="preserve">- Cục Kiểm tra văn bản - Bộ Tư pháp;</w:t>
            </w:r>
            <w:r>
              <w:rPr/>
              <w:br/>
            </w:r>
            <w:r>
              <w:t xml:space="preserve">- Các đơn vị thuộc và trực thuộc Bộ;</w:t>
            </w:r>
            <w:r>
              <w:rPr/>
              <w:br/>
            </w:r>
            <w:r>
              <w:t xml:space="preserve">- Lưu: VT, Vụ TCNH (250b).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strike/>
              </w:rPr>
              <w:br/>
            </w:r>
            <w:r>
              <w:rPr>
                <w:b/>
              </w:rPr>
              <w:t xml:space="preserve">Huỳnh Quang 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7-2019-tt-btc-ve-che-do-tai-chinh-doi-voi-du-an-tai-chinh-vi-mo-cua-to-chuc-chinh-tri.aspx" TargetMode="External" /><Relationship Id="rId4" Type="http://schemas.openxmlformats.org/officeDocument/2006/relationships/hyperlink" Target="/nghi-dinh-87-2017-nd-cp-chuc-nang-nhiem-vu-quyen-han-va-co-cau-to-chuc-cua-bo-tai-ch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2022-06-20T22:17:03Z</dcterms:created>
  <dcterms:modified xsi:type="dcterms:W3CDTF">2022-06-20T22:17:03Z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2022-06-20T22:17:03Z</dcterms:created>
  <dcterms:modified xsi:type="dcterms:W3CDTF">2022-06-20T22:17:03Z</dcterms:modified>
</cp:coreProperties>
</file>