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21/2005/TT-BTC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3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vanish w:val="0"/>
        </w:rPr>
      </w:pPr>
      <w:r>
        <w:rPr>
          <w:b/>
          <w:i/>
        </w:rPr>
        <w:t xml:space="preserve">Hướng dẫn thực hiện qui chế công khai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vanish w:val="0"/>
        </w:rPr>
      </w:pPr>
      <w:r>
        <w:rPr>
          <w:b/>
          <w:i/>
        </w:rPr>
        <w:t xml:space="preserve">đối với các đơn vị dự toán ngân sách và các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b/>
          <w:i/>
          <w:vanish w:val="0"/>
        </w:rPr>
      </w:pPr>
      <w:r>
        <w:rPr>
          <w:b/>
          <w:i/>
        </w:rPr>
        <w:t xml:space="preserve">được ngân sách nhà nước hỗ trợ </w:t>
      </w:r>
    </w:p>
    <w:p>
      <w:pPr>
        <w:pStyle w:val="Normal(Web)"/>
        <w:divId w:val="6"/>
        <w:rPr>
          <w:vanish w:val="0"/>
        </w:rPr>
      </w:pPr>
      <w:r>
        <w:t xml:space="preserve">Căn cứ Quyết định số 192/2004/QĐ-TTg ngày 16/11/2004 của Thủ tướng Chính phủ ban hành Qui chế công khai tài chính đối với các cấp ngân sách nhà nước, các đơn vị dự toán ngân sách, các tổ chức được ngân sách hỗ trợ, các dự án đầu tư xây dựng cơ bản có sử dụng vốn ngân sách nhà nước, các doanh nghiệp nhà nước, các quỹ có nguồn từ ngân sách nhà nước và các quỹ có nguồn từ các khoản đóng góp của nhân dân.</w:t>
      </w:r>
    </w:p>
    <w:p>
      <w:pPr>
        <w:pStyle w:val="Normal(Web)"/>
        <w:divId w:val="6"/>
        <w:pBdr>
          <w:top w:val="none" w:sz="0" w:space="0" w:color="auto"/>
          <w:left w:val="none" w:sz="0" w:space="0" w:color="auto"/>
          <w:bottom w:val="none" w:sz="0" w:space="0" w:color="auto"/>
          <w:right w:val="none" w:sz="0" w:space="0" w:color="auto"/>
        </w:pBdr>
        <w:shd w:val="clear" w:color="auto" w:fill="auto"/>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Tài chính hướng dẫn thực hiện công khai tài chính đối với các đơn vị dự toán ngân sách, các tổ chức được ngân sách nhà nước hỗ trợ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I. Công khai tài chính của các đơn vị dự toán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Công khai phân bổ dự toán ngân sách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Đối với đơn vị dự toán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trưởng đơn vị dự toán cấp trên công bố công khai dự toán thu - chi ngân sách nhà nước, kể cả phần điều chỉnh giảm hoặc bổ sung (nếu có) được cấp có thẩm quyền giao; nguồn kinh phí khác và phân bổ cho các đơn vị dự toán cấp dưới trực thuộc (trong đó có dự toán của đơn vị mình trực tiếp sử dụng), các đơn vị được ủy quyền (phần kinh phí ủy quyền -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Nội dung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các căn cứ, nguyên tắc phân bổ.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số liệu: Theo Biểu số 1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Hình thức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Niêm yết công khai tại trụ sở làm việc của đơn vị (thời gian niêm yết ít nhất là 90 ngày, kể từ ngày niêm yết); đồng thời thông báo bằng văn bản cho các đơn vị cấp dưới trực thuộc và các đơn vị được ủy quyền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Thời điểm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Chậm nhất sau 30 ngày, kể từ ngày được cấp có thẩm quyền giao đầu năm và điều chỉnh giảm hoặc bổ sung trong năm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Đối với đơn vị dự toán trực tiếp sử dụng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trưởng các đơn vị dự toán trực tiếp sử dụng kinh phí ngân sách nhà nước công bố công khai dự toán thu - chi ngân sách nhà nước, kể cả phần điều chỉnh giảm hoặc bổ sung (nếu có) đã được cấp có thẩm quyền giao và nguồn kinh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Nội dung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dự toán một số nội dung chi chủ yếu: Chi mua sắm trang thiết bị, phương tiện làm việc, chi sửa chữa lớn TSCĐ, chi hội nghị. Việc công khai các nội dung chi khác do thủ trưởng đơn vị qui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số liệu: Theo Biểu số 2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Hình thức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Niêm yết công khai tại trụ sở làm việc của đơn vị (thời gian niêm yết ít nhất là 90 ngày, kể từ ngày niêm yết); đồng thời công bố trong hội nghị cán bộ, công chức, viên chức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Thời điểm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Chậm nhất sau 30 ngày, kể từ ngày được đơn vị dự toán cấp trên hoặc cấp có thẩm quyền giao đầu năm và điều chỉnh giảm hoặc bổ sung trong năm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Công khai quyết toán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Đối với đơn vị dự toán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trưởng đơn vị dự toán cấp trên công bố công khai quyết toán kinh phí ngân sách nhà nước, kinh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Nội dung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quyết toán đã được cấp có thẩm quyền phê duyệt, theo Biểu số 3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quyết toán do đơn vị phê duyệt cho các đơn vị dự toán cấp dưới trực thuộc, theo Biểu số 4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Hình thức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Niêm yết công khai tại trụ sở làm việc của đơn vị (thời gian niêm yết ít nhất là 90 ngày, kể từ ngày niêm yết); đồng thời thông báo bằng văn bản cho các đơn vị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Thời điểm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Chậm nhất sau 30 ngày, kể từ ngày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Đối với đơn vị dự toán trực tiếp sử dụng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trưởng các đơn vị dự toán trực tiếp sử dụng kinh phí ngân sách nhà nước, kinh phí khác công bố công khai quyết toán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Nội dung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quyết toán một số nội dung chi chủ yếu: Chi mua sắm trang thiết bị, phương tiện làm việc, chi sửa chữa lớn TSCĐ, chi hội nghị. Việc công khai quyết toán các nội dung chi khác do thủ trưởng đơn vị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số liệu: Theo Biểu số 3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Hình thức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Niêm yết công khai tại trụ sở làm việc của đơn vị (thời gian niêm yết ít nhất là 90 ngày, kể từ ngày niêm yết); đồng thời công bố trong hội nghị cán bộ, công chức, viên chức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Thời điểm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Chậm nhất sau 30 ngày, kể từ ngày được đơn vị dự toán cấp trên hoặc cấp có thẩm quyền phê duyệt.</w:t>
      </w:r>
    </w:p>
    <w:p>
      <w:pPr>
        <w:pStyle w:val="Normal(Web)"/>
        <w:divId w:val="6"/>
        <w:rPr>
          <w:vanish w:val="0"/>
        </w:rPr>
      </w:pPr>
      <w:r>
        <w:rPr>
          <w:b/>
        </w:rPr>
        <w:t xml:space="preserve">3. Công khai các việc thu và sử dụng các khoản đóng góp của tổ chức, cá nhân</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trưởng đơn vị dự toán có các khoản thu đóng góp của tổ chức, cá nhân phải thực hiện công khai theo quy định tại điểm 2, Mục 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II. Công khai tài chính của các tổ chức được ngân sách nhà nước hỗ trợ:</w:t>
      </w:r>
    </w:p>
    <w:p>
      <w:pPr>
        <w:pStyle w:val="Normal(Web)"/>
        <w:divId w:val="6"/>
        <w:rPr>
          <w:vanish w:val="0"/>
        </w:rPr>
      </w:pPr>
      <w:r>
        <w:rPr>
          <w:b/>
        </w:rPr>
        <w:t xml:space="preserve">1. Công khai kinh phí ngân sách nhà nước hỗ trợ</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Công khai phân bổ dự toán kinh phí ngân sách nhà nước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1.1.1. Đối với tổ chức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trưởng tổ chức cấp trên công bố công khai dự toán kinh phí ngân sách nhà nước hỗ trợ, kể cả phần điều chỉnh giảm hoặc bổ sung (nếu có) được cấp có thẩm quyền giao, nguồn kinh phí khác và phân bổ cho các đơn vị cấp dưới trực thuộc (trong đó có dự toán của đơn vị mình trực tiếp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Nội dung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các căn cứ, nguyên tắc phân bổ.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số liệu: Theo Biểu số 5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Hình thức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Niêm yết công khai tại trụ sở làm việc của đơn vị (thời gian niêm yết ít nhất là 90 ngày, kể từ ngày niêm yết); đồng thời thông báo bằng văn bản cho các đơn vị cấp dưới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Thời điểm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Chậm nhất sau 30 ngày, kể từ ngày được cấp có thẩm quyền giao đầu năm và điều chỉnh giảm hoặc bổ sung trong năm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1.1.2. Đối với đơn vị trực tiếp sử dụng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trưởng các đơn vị trực tiếp sử dụng kinh phí ngân sách nhà nước hỗ trợ công bố công khai dự toán kinh phí ngân sách nhà nước hỗ trợ, kể cả phần điều chỉnh giảm hoặc bổ sung (nếu có) được cấp có thẩm quyền giao và nguồn kinh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Nội dung công khai: Theo Biểu số 6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Hình thức công khai: Niêm yết công khai tại trụ sở làm việc của đơn vị (thời gian niêm yết ít nhất là 90 ngày, kể từ ngày niêm yết); đồng thời công bố trong hội nghị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Thời điểm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Chậm nhất sau 30 ngày, kể từ ngày được cấp có thẩm quyền giao đầu năm và điều chỉnh giảm hoặc bổ sung trong năm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Công khai quyết toán kinh phí ngân sách nhà nước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1.2.1. Đối với tổ chức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trưởng tổ chức cấp trên công bố công khai quyết toán kinh phí được ngân sách nhà nước hỗ trợ, kinh phí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Nội dung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quyết toán đã được cấp có thẩm quyền phê duyệt. Theo Biểu số 7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quyết toán do tổ chức phê duyệt cho các đơn vị cấp dưới trực thuộc. Theo Biểu số 8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Hình thức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Niêm yết công khai tại trụ sở làm việc của đơn vị (thời gian niêm yết ít nhất là 90 ngày, kể từ ngày niêm yết); đồng thời thông báo bằng văn bản cho các đơn vị cấp dưới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Thời điểm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Chậm nhất sau 30 ngày, kể từ ngày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r>
        <w:t xml:space="preserve">1.2.2. Đối với đơn vị trực tiếp sử dụng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trưởng các đơn vị trực tiếp sử dụng kinh phí ngân sách nhà nước hỗ trợ công bố công khai quyết toán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Nội dung công khai: Theo Biểu số 7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Hình thức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Niêm yết công khai tại trụ sở làm việc của đơn vị (thời gian niêm yết ít nhất là 90 ngày, kể từ ngày niêm yết); đồng thời công bố trong hội nghị cán bộ, công chức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Thời điểm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Chậm nhất sau 30 ngày, kể từ ngày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Công khai việc thu và sử dụng các khoản đóng góp của tổ chức, cá nhân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trưởng các đơn vị thực hiện công khai việc thu và sử dụng các khoản đóng góp của các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Công khai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Nội dung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căn cứ thu, mục đích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đối tượng thu, mức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Hình thức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Niêm yết công khai tại trụ sở làm việc của đơn vị (thời gian niêm yết ít nhất là 90 ngày, kể từ ngày niêm yết); đồng thời công bố trong hội nghị cán bộ, công chức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Thời điểm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Chậm nhất sau 30 ngày, kể từ ngày có văn bản thông báo của cấp có thẩm quyền cho phép huy động đóng góp của các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Công khai quyết toán sử dụng các khoản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Nội dung công khai: Theo Biểu số 9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Hình thức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Niêm yết công khai tại trụ sở làm việc của đơn vị (thời gian niêm yết ít nhất là 90 ngày, kể từ ngày niêm yết); đồng thời công bố trong hội nghị cán bộ, công chức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Thời điểm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Chậm nhất sau 30 ngày, kể từ ngày được đơn vị dự toán cấp trên hoặc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III. Chế độ báo cáo, kiểm tra, giám sát và xử lý vi phạm:</w:t>
      </w:r>
    </w:p>
    <w:p>
      <w:pPr>
        <w:pStyle w:val="Normal(Web)"/>
        <w:divId w:val="6"/>
        <w:jc w:val="both"/>
        <w:rPr>
          <w:vanish w:val="0"/>
        </w:rPr>
      </w:pPr>
      <w:r>
        <w:rPr>
          <w:b/>
        </w:rPr>
        <w:t xml:space="preserve">1. Chế độ báo cáo tình hình thực hiện công khai tài chính</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Đơn vị dự toán ngân sách cấp I, tổ chức được ngân sách nhà nước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Báo cáo tổng hợp tình hình, kết quả thực hiện công khai phân bổ dự toán được giao, kể cả phần điều chỉnh giảm, bổ sung (nếu có), công khai quyết toán gửi cơ quan tài chính cùng cấp (đối với đơn vị dự toán cấp I), gửi cơ quan tài chính của cấp ngân sách đã thực hiện hỗ trợ (đối với tổ chức được ngân sách nhà nước hỗ trợ). Nội dung báo cáo theo Biểu số 10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Báo cáo công khai phân bổ dự toán năm, gửi trước ngày 30 tháng 4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Báo cáo công khai phân bổ dự toán điều chỉnh giảm hoặc bổ sung, gửi sau 30 ngày, kể từ ngày được cấp có thẩm quyền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Báo cáo công khai quyết toán năm trước, gửi trước ngày 1 tháng 10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Đơn vị sử dụng ngân sách gửi báo cáo đã công khai và báo cáo tình hình thực hiện công khai dự toán được giao, kể cả phần điều chỉnh giảm, bổ sung (nếu có); công khai quyết toán đã được cấp có thẩm quyền duyệt cho đơn vị dự toán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Đơn vị dự toán cấp I, tổ chức được ngân sách nhà nước hỗ trợ quy định thời gian gửi báo cáo đã công khai và báo cáo tình hình thực hiện công khai phân bổ dự toán, công khai quyết toán đối với đơn vị cấp dưới trực thuộc, nhưng phải bảo đảm thời hạn gửi báo cáo tổng hợp tình hình, kết quả thực hiện công khai phân bổ dự toán, công khai quyết toán cho cơ quan tài chính, theo quy định điểm 1.1, Mục III trên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Kiểm tra, giám sát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Bộ, cơ quan ngang Bộ, cơ quan thuộc Chính phủ, cơ quan khác ở Trung ương, Uỷ ban nhân dân các cấp, đơn vị dự toán cấp trên, Mặt trận tổ quốc Việt Nam, các tổ chức chính trị - xã hội, các tổ chức đoàn thể trong cơ quan, đơn vị và nhân dân chịu trách nhiệm kiểm tra, giám sát việc thực hiện công khai tài chính của các cơ quan, đơn vị.</w:t>
      </w:r>
    </w:p>
    <w:p>
      <w:pPr>
        <w:pStyle w:val="Normal(Web)"/>
        <w:divId w:val="6"/>
        <w:jc w:val="both"/>
        <w:rPr>
          <w:vanish w:val="0"/>
        </w:rPr>
      </w:pPr>
      <w:r>
        <w:rPr>
          <w:b/>
        </w:rPr>
        <w:t xml:space="preserve">3.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 Các hành vi vi phạm quy định của pháp luật về công khai tài chính là những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không đầy đủ nội dung, hình thức, thời gian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số liệu sai sự thật;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khai những số liệu thuộc bí mật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Không thực hiện báo cáo hoặc báo cáo chậm thời gian, báo cáo sai sự thật.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3.2. Tổ chức, đơn vị, cá nhân vi phạm các quy định của pháp luật về công khai tài chính thì tùy theo tính chất, mức độ mà xử lý kỷ luật theo quy định của pháp luật về xử lý kỷ luật và trách nhiệm vật chất của công chức; xử phạt hành chính đối với các hành vi vi phạm về báo cáo và công khai tài chính theo quy định tại Nghị định số </w:t>
      </w:r>
      <w:hyperlink r:id="rId4" w:history="1">
        <w:r>
          <w:rPr>
            <w:rStyle w:val="Hyperlink"/>
          </w:rPr>
          <w:t xml:space="preserve">185/2004/NĐ-CP </w:t>
        </w:r>
      </w:hyperlink>
      <w:r>
        <w:t xml:space="preserve"> ngày 4/11/2004 của Chính phủ về xử lý phạt vi phạm hành chính trong lĩnh vực kế toán, Thông tư số 120/2004/TT-BTC ngày 15/12/2004 của Bộ Tài chính về hướng dẫn thực hiện một số điều của Nghị định số 185/2004/NĐ-CP ngày 4/11/2004 của Chính phủ và các văn bản quy phạm pháp luật khác có liên quan; hoặc bị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IV. Chất vấn và trả lời chất vấn:</w:t>
      </w:r>
    </w:p>
    <w:p>
      <w:pPr>
        <w:pStyle w:val="Normal(Web)"/>
        <w:divId w:val="6"/>
        <w:jc w:val="both"/>
        <w:rPr>
          <w:vanish w:val="0"/>
        </w:rPr>
      </w:pPr>
      <w:r>
        <w:rPr>
          <w:b/>
        </w:rPr>
        <w:t xml:space="preserve">1. Chất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tổ chức, đơn vị, cá nhân thuộc đối tượng được tiếp nhận thông tin công khai tài chính theo các qui định của Thông tư này có quyền chất vấn cơ quan, tổ chức, đơn vị về các nội dung công khai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Trả lời chất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trưởng các đơn vị dự toán, các tổ chức được ngân sách hỗ trợ có trách nhiệm công khai tài chính theo qui định của Thông tư này phải trả lời chất vấn về các nội dung công khai tài chính. Việc trả lời chất vấn phải được thực hiện bằng văn bản và gửi tới tổ chức, cá nhân chất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trưởng đơn vị bị chất vấn phải trả lời cho tổ chức, cá nhân chất vấn chậm nhất sau 10 ngày, kể từ ngày tiếp nhận nội dung chất vấn. Trường hợp nội dung chất vấn phức tạp, cần nhiều thời gian để chuẩn bị trả lời thì phải có văn bản hẹn ngày trả lời cụ thể cho tổ chức, cá nhân chất vấn, nhưng không quá 45 ngày, kể từ ngày nhận được nội dung chất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Thông tư này có hiệu lực thi hành sau 15 ngày, kể từ ngày đăng Công báo, thay thế Thông tư số </w:t>
      </w:r>
      <w:hyperlink r:id="rId5" w:history="1">
        <w:r>
          <w:rPr>
            <w:rStyle w:val="Hyperlink"/>
          </w:rPr>
          <w:t xml:space="preserve">83/1999/TT-BTC </w:t>
        </w:r>
      </w:hyperlink>
      <w:r>
        <w:t xml:space="preserve"> ngày 01/7/1999 của Bộ Tài chính hướng dẫn thực hiện công khai tài chính đối với các đơn vị dự toán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quá trình thực hiện, nếu có vướng mắc đề nghị các đơn vị phản ánh kịp thời về Bộ Tài chính để xem xét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Nhân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1-2005-tt-btc.aspx" TargetMode="External" /><Relationship Id="rId4" Type="http://schemas.openxmlformats.org/officeDocument/2006/relationships/hyperlink" Target="/nghi-dinh-so-185-2004-nd-cp-cua-chinh-phu---nghi-dinh-ve-xu-phat-vi-pham-hanh-chinh-trong-linh-vuc-ke-toan.aspx" TargetMode="External" /><Relationship Id="rId5" Type="http://schemas.openxmlformats.org/officeDocument/2006/relationships/hyperlink" Target="/thong-tu-83-1999-tt-bt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2022-06-22T11:39:24Z</dcterms:created>
  <dcterms:modified xsi:type="dcterms:W3CDTF">2022-06-22T11:39:24Z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2022-06-22T11:39:24Z</dcterms:created>
  <dcterms:modified xsi:type="dcterms:W3CDTF">2022-06-22T11:39:24Z</dcterms:modified>
</cp:coreProperties>
</file>