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Tr="00442041">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color w:val="000000" w:themeColor="text1"/>
                <w:sz w:val="20"/>
                <w:szCs w:val="20"/>
                <w:lang w:val="en-GB"/>
              </w:rPr>
            </w:pPr>
            <w:r w:rsidRPr="00442041">
              <w:rPr>
                <w:rFonts w:ascii="Arial" w:hAnsi="Arial" w:cs="Arial"/>
                <w:b/>
                <w:bCs/>
                <w:color w:val="000000" w:themeColor="text1"/>
                <w:sz w:val="20"/>
                <w:szCs w:val="20"/>
              </w:rPr>
              <w:t xml:space="preserve">BỘ NỘI VỤ</w:t>
            </w:r>
            <w:r>
              <w:rPr>
                <w:rFonts w:ascii="Arial" w:hAnsi="Arial" w:cs="Arial"/>
                <w:b/>
                <w:bCs/>
                <w:color w:val="000000" w:themeColor="text1"/>
                <w:sz w:val="20"/>
                <w:szCs w:val="20"/>
              </w:rPr>
              <w:br/>
            </w:r>
            <w:r w:rsidRPr="00442041">
              <w:rPr>
                <w:rFonts w:ascii="Arial" w:hAnsi="Arial" w:cs="Arial"/>
                <w:color w:val="000000" w:themeColor="text1"/>
                <w:sz w:val="20"/>
                <w:szCs w:val="20"/>
                <w:vertAlign w:val="superscript"/>
                <w:lang w:val="en-GB"/>
              </w:rPr>
              <w:t xml:space="preserve">_____</w:t>
            </w:r>
          </w:p>
        </w:tc>
        <w:tc>
          <w:tcPr>
            <w:tcW w:w="3110" w:type="pct"/>
            <w:shd w:val="clear" w:color="auto" w:fill="FFFFFF"/>
            <w:tcMar>
              <w:top w:w="0" w:type="dxa"/>
              <w:left w:w="108" w:type="dxa"/>
              <w:bottom w:w="0" w:type="dxa"/>
              <w:right w:w="108" w:type="dxa"/>
            </w:tcMar>
            <w:hideMark/>
          </w:tcPr>
          <w:p>
            <w:pPr>
              <w:jc w:val="center"/>
              <w:rPr>
                <w:rFonts w:ascii="Arial" w:hAnsi="Arial" w:cs="Arial"/>
                <w:color w:val="000000" w:themeColor="text1"/>
                <w:sz w:val="20"/>
                <w:szCs w:val="20"/>
              </w:rPr>
            </w:pPr>
            <w:r w:rsidRPr="00442041">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442041">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442041">
              <w:rPr>
                <w:rFonts w:ascii="Arial" w:hAnsi="Arial" w:cs="Arial"/>
                <w:color w:val="000000" w:themeColor="text1"/>
                <w:sz w:val="20"/>
                <w:szCs w:val="20"/>
                <w:vertAlign w:val="superscript"/>
              </w:rPr>
              <w:t xml:space="preserve">_________________________</w:t>
            </w:r>
          </w:p>
        </w:tc>
      </w:tr>
      <w:tr w:rsidTr="00442041">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Số: 07/2024/TT-BNV</w:t>
            </w:r>
          </w:p>
        </w:tc>
        <w:tc>
          <w:tcPr>
            <w:tcW w:w="3110" w:type="pct"/>
            <w:shd w:val="clear" w:color="auto" w:fill="FFFFFF"/>
            <w:tcMar>
              <w:top w:w="0" w:type="dxa"/>
              <w:left w:w="108" w:type="dxa"/>
              <w:bottom w:w="0" w:type="dxa"/>
              <w:right w:w="108" w:type="dxa"/>
            </w:tcMar>
            <w:hideMark/>
          </w:tcPr>
          <w:p>
            <w:pPr>
              <w:jc w:val="center"/>
              <w:rPr>
                <w:rFonts w:ascii="Arial" w:hAnsi="Arial" w:cs="Arial"/>
                <w:color w:val="000000" w:themeColor="text1"/>
                <w:sz w:val="20"/>
                <w:szCs w:val="20"/>
              </w:rPr>
            </w:pPr>
            <w:r w:rsidRPr="00442041">
              <w:rPr>
                <w:rFonts w:ascii="Arial" w:hAnsi="Arial" w:cs="Arial"/>
                <w:i/>
                <w:iCs/>
                <w:color w:val="000000" w:themeColor="text1"/>
                <w:sz w:val="20"/>
                <w:szCs w:val="20"/>
              </w:rPr>
              <w:t xml:space="preserve">Hà Nội, ngày 05 tháng 7 năm 2024</w:t>
            </w:r>
          </w:p>
        </w:tc>
      </w:tr>
    </w:tbl>
    <w:p>
      <w:pPr>
        <w:rPr>
          <w:rFonts w:ascii="Arial" w:hAnsi="Arial" w:cs="Arial"/>
          <w:color w:val="000000" w:themeColor="text1"/>
          <w:sz w:val="20"/>
          <w:szCs w:val="20"/>
        </w:rPr>
      </w:pPr>
      <w:r w:rsidRPr="00442041">
        <w:rPr>
          <w:rFonts w:ascii="Arial" w:hAnsi="Arial" w:cs="Arial"/>
          <w:color w:val="000000" w:themeColor="text1"/>
          <w:sz w:val="20"/>
          <w:szCs w:val="20"/>
        </w:rPr>
        <w:t xml:space="preserve"> </w:t>
      </w:r>
    </w:p>
    <w:p>
      <w:pPr>
        <w:jc w:val="center"/>
        <w:rPr>
          <w:rFonts w:ascii="Arial" w:hAnsi="Arial" w:cs="Arial"/>
          <w:b/>
          <w:bCs/>
          <w:color w:val="000000" w:themeColor="text1"/>
          <w:sz w:val="20"/>
          <w:szCs w:val="20"/>
        </w:rPr>
      </w:pPr>
    </w:p>
    <w:p>
      <w:pPr>
        <w:jc w:val="center"/>
        <w:rPr>
          <w:rFonts w:ascii="Arial" w:hAnsi="Arial" w:cs="Arial"/>
          <w:color w:val="000000" w:themeColor="text1"/>
          <w:sz w:val="20"/>
          <w:szCs w:val="20"/>
        </w:rPr>
      </w:pPr>
      <w:r w:rsidRPr="00442041">
        <w:rPr>
          <w:rFonts w:ascii="Arial" w:hAnsi="Arial" w:cs="Arial"/>
          <w:b/>
          <w:bCs/>
          <w:color w:val="000000" w:themeColor="text1"/>
          <w:sz w:val="20"/>
          <w:szCs w:val="20"/>
        </w:rPr>
        <w:t xml:space="preserve">THÔNG TƯ</w:t>
      </w:r>
    </w:p>
    <w:p>
      <w:pPr>
        <w:pStyle w:val="BodyText"/>
        <w:spacing w:after="0" w:line="240" w:lineRule="auto"/>
        <w:ind w:firstLine="0"/>
        <w:jc w:val="center"/>
        <w:rPr>
          <w:rFonts w:ascii="Arial" w:hAnsi="Arial" w:cs="Arial"/>
          <w:b/>
          <w:bCs/>
          <w:color w:val="000000" w:themeColor="text1"/>
          <w:sz w:val="20"/>
          <w:szCs w:val="20"/>
        </w:rPr>
      </w:pPr>
      <w:r w:rsidRPr="00442041">
        <w:rPr>
          <w:rFonts w:ascii="Arial" w:hAnsi="Arial" w:cs="Arial"/>
          <w:b/>
          <w:bCs/>
          <w:color w:val="000000" w:themeColor="text1"/>
          <w:sz w:val="20"/>
          <w:szCs w:val="20"/>
        </w:rPr>
        <w:t xml:space="preserve">Hướng dẫn thực hiện mức lương cơ sở đối với các đối tượng hưởng lương,</w:t>
      </w:r>
      <w:r>
        <w:rPr>
          <w:rFonts w:ascii="Arial" w:hAnsi="Arial" w:cs="Arial"/>
          <w:b/>
          <w:bCs/>
          <w:color w:val="000000" w:themeColor="text1"/>
          <w:sz w:val="20"/>
          <w:szCs w:val="20"/>
        </w:rPr>
        <w:br/>
      </w:r>
      <w:r w:rsidRPr="00442041">
        <w:rPr>
          <w:rFonts w:ascii="Arial" w:hAnsi="Arial" w:cs="Arial"/>
          <w:b/>
          <w:bCs/>
          <w:color w:val="000000" w:themeColor="text1"/>
          <w:sz w:val="20"/>
          <w:szCs w:val="20"/>
        </w:rPr>
        <w:t xml:space="preserve">phụ cấp trong các cơ quan, tổ chức, đơn vị sự nghiệp công lập của Đảng,</w:t>
      </w:r>
      <w:r>
        <w:rPr>
          <w:rFonts w:ascii="Arial" w:hAnsi="Arial" w:cs="Arial"/>
          <w:b/>
          <w:bCs/>
          <w:color w:val="000000" w:themeColor="text1"/>
          <w:sz w:val="20"/>
          <w:szCs w:val="20"/>
        </w:rPr>
        <w:br/>
      </w:r>
      <w:r w:rsidRPr="00442041">
        <w:rPr>
          <w:rFonts w:ascii="Arial" w:hAnsi="Arial" w:cs="Arial"/>
          <w:b/>
          <w:bCs/>
          <w:color w:val="000000" w:themeColor="text1"/>
          <w:sz w:val="20"/>
          <w:szCs w:val="20"/>
        </w:rPr>
        <w:t xml:space="preserve">Nhà nước, Mặt trận Tổ quốc Việt Nam, tổ chức chính trị - xã hội và hội</w:t>
      </w:r>
    </w:p>
    <w:p>
      <w:pPr>
        <w:pStyle w:val="BodyText"/>
        <w:spacing w:after="0" w:line="240" w:lineRule="auto"/>
        <w:ind w:firstLine="0"/>
        <w:jc w:val="center"/>
        <w:rPr>
          <w:rFonts w:ascii="Arial" w:hAnsi="Arial" w:cs="Arial"/>
          <w:color w:val="000000" w:themeColor="text1"/>
          <w:sz w:val="20"/>
          <w:szCs w:val="20"/>
          <w:vertAlign w:val="superscript"/>
        </w:rPr>
      </w:pPr>
      <w:r w:rsidRPr="00514E1B">
        <w:rPr>
          <w:rFonts w:ascii="Arial" w:hAnsi="Arial" w:cs="Arial"/>
          <w:color w:val="000000" w:themeColor="text1"/>
          <w:sz w:val="20"/>
          <w:szCs w:val="20"/>
          <w:vertAlign w:val="superscript"/>
        </w:rPr>
        <w:t xml:space="preserve">_____________</w:t>
      </w:r>
    </w:p>
    <w:p>
      <w:pP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 xml:space="preserve">Căn cứ Nghị định số 63/2022/NĐ-CP ngày 12 tháng 9 năm 2022 của Chính phủ quy định chức năng, nhiệm vụ, quyền hạn và cơ cấu tổ chức của Bộ Nội vụ;</w:t>
      </w:r>
    </w:p>
    <w:p>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 xml:space="preserve">Căn cứ khoản 1 Điều 7 Nghị định số 73/2024/NĐ-CP ngày 30 tháng 6 năm 2024 của Chính phủ quy định mức lương cơ sở và chế độ tiền thưởng đối với cán bộ, công chức, viên chức và lực lượng vũ trang;</w:t>
      </w:r>
    </w:p>
    <w:p>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 xml:space="preserve">Theo đề nghị của Vụ trưởng Vụ Tiền lương;</w:t>
      </w:r>
    </w:p>
    <w:p>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 xml:space="preserve">Bộ trưởng Bộ Nội vụ ban hành Thông tư hướng dẫn thực hiện mức lương cơ sở đối với các đối tượng hưởng lương, phụ cấp trong các cơ quan, tổ chức, đơn vị sự nghiệp công lập của Đảng, Nhà nước, Mặt trận Tổ quốc Việt Nam, tổ chức chính trị - xã hội và hội.</w:t>
      </w:r>
    </w:p>
    <w:p>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 xml:space="preserve">Điều 1. Đối tượng áp dụng</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1. Cán bộ, công chức hưởng lương từ ngân sách nhà nước làm việc trong các cơ quan Đảng, Nhà nước, Mặt trận Tổ quốc Việt Nam, tổ chức chính trị - xã hội ở Trung ương; ở tỉnh, thành phố trực thuộc Trung ương; ở huyện, quận, thị xã, thành phố thuộc tỉnh, thành phố thuộc thành phố trực thuộc Trung ương; ở đơn vị hành chính - kinh tế đặc biệt.</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2. Viên chức hưởng lương từ quỹ lương của đơn vị sự nghiệp công lập theo quy định của pháp luật (bao gồm cả trường hợp quy định tại khoản 19 Điều 1 Luật sửa đổi, bổ sung một số điều của Luật Cán bộ, công chức và Luật Viên chức năm 2019).</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3. Cán bộ, công chức, viên chức được cấp có thẩm quyền cử đến làm việc tại các hội, tổ chức phi Chính phủ, dự án và cơ quan, tổ chức quốc tế đặt tại Việt Nam mà vẫn được hưởng lương theo bảng lương ban hành kèm theo Nghị định số 204/2004/NĐ-CP ngày 14 tháng 12 năm 2004 của Chính phủ về chế độ tiền lương đối với cán bộ, công chức, viên chức và lực lượng vũ trang.</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4. Người hưởng lương làm việc trong chỉ tiêu biên chế được cấp có thẩm quyền giao tại các hội do Đảng, Nhà nước giao nhiệm vụ được ngân sách nhà nước hỗ trợ kinh phí theo quy định tại Nghị định số 45/2010/NĐ-CP ngày 21 tháng 4 năm 2010 của Chính phủ quy định về tổ chức, hoạt động và quản lý hội (sửa đổi, bổ sung tại Nghị định số 33/2012/NĐ-CP ngày 13 tháng 4 năm 2012 của Chính phủ).</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5. Cán bộ, công chức ở xã, phường, thị trấn và những người hoạt động không chuyên trách ở cấp xã, ở thôn, tổ dân phố quy định tại Nghị định số 33/2023/NĐ-CP ngày 10 tháng 6 năm 2023 của Chính phủ quy định về cán bộ, công chức cấp xã và người hoạt động không chuyên trách ở cấp xã, ở thôn, tổ dân phố.</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6. Đại biểu Hội đồng nhân dân các cấp hưởng hoạt động phí theo quy định của pháp luật hiện hành.</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7. Người làm việc trong tổ chức cơ yếu.</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8. Người làm các công việc theo chế độ hợp đồng lao động quy định tại Nghị định số 111/2022/NĐ-CP ngày 30 tháng 12 năm 2022 của Chính phủ về hợp đồng đối với một số loại công việc trong cơ quan hành chính và đơn vị sự nghiệp công lập thuộc trường hợp được áp dụng hoặc có thỏa thuận trong hợp đồng lao động áp dụng xếp lương theo Nghị định số 204/2004/NĐ-CP ngày 14 tháng 12 năm 2004 của Chính phủ về chế độ tiền lương đối với cán bộ, công chức, viên chức và lực lượng vũ trang.</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9. Các đối tượng sau đây được áp dụng Thông tư này để tính toán xác định mức đóng, hưởng chế độ bảo hiểm xã hội và giải quyết các chế độ liên quan đến tiền lương theo quy định của pháp luật:</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a) Cán bộ, công chức, viên chức đi học, thực tập, công tác, điều trị, điều dưỡng (trong nước và ngoài nước) thuộc danh sách trả lương của cơ quan Đảng, Nhà nước, tổ chức chính trị - xã hội, đơn vị sự nghiệp công lập và hội được ngân sách nhà nước hỗ trợ kinh phí hoạt động;</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b) Người đang trong thời gian tập sự hoặc thử việc (kể cả tập sự công chức cấp xã) trong cơ quan Đảng, Nhà nước, tổ chức chính trị - xã hội, đơn vị sự nghiệp công lập và hội được ngân sách nhà nước hỗ trợ kinh phí hoạt động;</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c) Cán bộ, công chức, viên chức đang bị tạm đình chỉ công tác, đang bị tạm giữ, tạm giam.</w:t>
      </w:r>
    </w:p>
    <w:p>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 xml:space="preserve">Điều 2. Giải thích từ ngữ</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1. Tổ chức chính trị - xã hội quy định tại Thông tư này là các tổ chức quy định tại Điều 1 Quyết định số 128-QĐ/TW ngày 14 tháng 12 năm 2004 của Ban Bí thư Trung ương Đảng về chế độ tiền lương đối với cán bộ, công chức, viên chức cơ quan Đảng, Mặt trận và các đoàn thể.</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2. Hội được ngân sách nhà nước hỗ trợ kinh phí hoạt động quy định tại Thông tư này là các hội quy định tại Điều 33 Nghị định số 45/2010/NĐ-CP ngày 21 tháng 4 năm 2010 của Chính phủ quy định về tổ chức, hoạt động và quản lý hội và Quyết định số 68/2010/QĐ-TTg ngày 01 tháng 11 năm 2010 của Thủ tướng Chính phủ về việc quy định hội có tính chất đặc thù.</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3. Các cơ quan, đơn vị, tổ chức và hội quy định tại Thông tư này sau đây gọi chung là cơ quan, đơn vị.</w:t>
      </w:r>
    </w:p>
    <w:p>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 xml:space="preserve">Điều 3. Cách tính mức lương, phụ cấp và hoạt động phí</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1. Đối với cán bộ, công chức, viên chức và người lao động quy định tại các khoản 1, 2, 3, 4, 5, 8 và 9 Điều 1 Thông tư này:</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Căn cứ vào hệ số lương và phụ cấp hiện hưởng quy định tại các văn bản của cơ quan có thẩm quyền của Đảng, Nhà nước về chế độ tiền lương đối với cán bộ, công chức, viên chức và lực lượng vũ trang, mức lương cơ sở quy định tại Nghị định số 73/2024/NĐ-CP ngày 30 tháng 6 năm 2024 của Chính phủ quy định mức lương cơ sở và chế độ tiền thưởng đối với cán bộ, công chức, viên chức và lực lượng vũ trang (sau đây viết tắt là Nghị định số 73/2024/NĐ-CP) để tính mức lương, mức phụ cấp và mức tiền của hệ số chênh lệch bảo lưu (nếu có) như sau:</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a) Công thức tính mức lương:</w:t>
      </w:r>
    </w:p>
    <w:tbl>
      <w:tblPr>
        <w:tblStyle w:val="TableNormal"/>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795"/>
        <w:gridCol w:w="808"/>
        <w:gridCol w:w="2487"/>
        <w:gridCol w:w="854"/>
        <w:gridCol w:w="2062"/>
      </w:tblGrid>
      <w:tr w:rsidTr="00442041">
        <w:trPr>
          <w:tblCellSpacing w:w="0" w:type="dxa"/>
          <w:jc w:val="center"/>
        </w:trPr>
        <w:tc>
          <w:tcPr>
            <w:tcW w:w="1551" w:type="pc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thực hiện từ ngày 01 tháng 7 năm 2024)</w:t>
            </w:r>
          </w:p>
        </w:tc>
        <w:tc>
          <w:tcPr>
            <w:tcW w:w="448"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1381"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cơ sở 2.340.000 đồng/tháng)</w:t>
            </w:r>
          </w:p>
        </w:tc>
        <w:tc>
          <w:tcPr>
            <w:tcW w:w="474"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x</w:t>
            </w:r>
          </w:p>
        </w:tc>
        <w:tc>
          <w:tcPr>
            <w:tcW w:w="1145"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(Hệ số lương hiện hưởng)</w:t>
            </w:r>
          </w:p>
        </w:tc>
      </w:tr>
    </w:tbl>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b) Công thức tính mức phụ cấp:</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 Đối với các khoản phụ cấp tính theo mức lương cơ sở:</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390"/>
        <w:gridCol w:w="827"/>
        <w:gridCol w:w="2849"/>
        <w:gridCol w:w="827"/>
        <w:gridCol w:w="2113"/>
      </w:tblGrid>
      <w:tr w:rsidTr="00442041">
        <w:trPr>
          <w:tblCellSpacing w:w="0" w:type="dxa"/>
        </w:trPr>
        <w:tc>
          <w:tcPr>
            <w:tcW w:w="1327" w:type="pct"/>
            <w:tcBorders>
              <w:top w:val="nil"/>
              <w:left w:val="single" w:sz="8" w:space="0" w:color="auto"/>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phụ cấp thực hiện từ ngày 01 tháng 7 năm 2024)</w:t>
            </w:r>
          </w:p>
        </w:tc>
        <w:tc>
          <w:tcPr>
            <w:tcW w:w="459"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1582"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cơ sở 2.340.000 đồng/tháng)</w:t>
            </w:r>
          </w:p>
        </w:tc>
        <w:tc>
          <w:tcPr>
            <w:tcW w:w="459"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x</w:t>
            </w:r>
          </w:p>
        </w:tc>
        <w:tc>
          <w:tcPr>
            <w:tcW w:w="1173"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(Hệ số phụ cấp hiện hưởng)</w:t>
            </w:r>
          </w:p>
        </w:tc>
      </w:tr>
    </w:tbl>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 Đối với các khoản phụ cấp tính theo % mức lương hiện hưởng cộng phụ cấp chức vụ lãnh đạo và phụ cấp thâm niên vượt khung (nếu có):</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1114"/>
        <w:gridCol w:w="557"/>
        <w:gridCol w:w="1113"/>
        <w:gridCol w:w="465"/>
        <w:gridCol w:w="1763"/>
        <w:gridCol w:w="465"/>
        <w:gridCol w:w="1486"/>
        <w:gridCol w:w="557"/>
        <w:gridCol w:w="1486"/>
      </w:tblGrid>
      <w:tr w:rsidTr="00442041">
        <w:trPr>
          <w:tblCellSpacing w:w="0" w:type="dxa"/>
        </w:trPr>
        <w:tc>
          <w:tcPr>
            <w:tcW w:w="618" w:type="pct"/>
            <w:tcBorders>
              <w:top w:val="nil"/>
              <w:left w:val="single" w:sz="8" w:space="0" w:color="auto"/>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phụ cấp thực hiện từ ngày 01 tháng 7 năm 2024)</w:t>
            </w:r>
          </w:p>
        </w:tc>
        <w:tc>
          <w:tcPr>
            <w:tcW w:w="309"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618"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thực hiện từ ngày 01 tháng 7 năm 2024</w:t>
            </w:r>
          </w:p>
        </w:tc>
        <w:tc>
          <w:tcPr>
            <w:tcW w:w="258"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979"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phụ cấp chức vụ lãnh đạo thực hiện từ ngày 01 tháng 7 năm 2024 (nếu có)</w:t>
            </w:r>
          </w:p>
        </w:tc>
        <w:tc>
          <w:tcPr>
            <w:tcW w:w="258"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825"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phụ cấp thâm niên vượt khung thực hiện từ ngày 01 tháng 7 năm 2024 (nếu có))</w:t>
            </w:r>
          </w:p>
        </w:tc>
        <w:tc>
          <w:tcPr>
            <w:tcW w:w="309"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x</w:t>
            </w:r>
          </w:p>
        </w:tc>
        <w:tc>
          <w:tcPr>
            <w:tcW w:w="825"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(Tỷ lệ % phụ cấp được hưởng theo quy định)</w:t>
            </w:r>
          </w:p>
        </w:tc>
      </w:tr>
    </w:tbl>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 Đối với các khoản phụ cấp quy định bằng mức tiền cụ thể thì giữ nguyên theo quy định hiện hành.</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c) Công thức tính mức tiền của hệ số chênh lệch bảo lưu (nếu có):</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125"/>
        <w:gridCol w:w="459"/>
        <w:gridCol w:w="1837"/>
        <w:gridCol w:w="919"/>
        <w:gridCol w:w="2666"/>
      </w:tblGrid>
      <w:tr w:rsidTr="00442041">
        <w:trPr>
          <w:tblCellSpacing w:w="0" w:type="dxa"/>
        </w:trPr>
        <w:tc>
          <w:tcPr>
            <w:tcW w:w="1735" w:type="pct"/>
            <w:tcBorders>
              <w:top w:val="nil"/>
              <w:left w:val="single" w:sz="8" w:space="0" w:color="auto"/>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tiền của hệ số chênh lệch bảo lưu thực hiện từ ngày 01 tháng 7 năm 2024)</w:t>
            </w:r>
          </w:p>
        </w:tc>
        <w:tc>
          <w:tcPr>
            <w:tcW w:w="255"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102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cơ sở 2.340.000 đồng/tháng)</w:t>
            </w:r>
          </w:p>
        </w:tc>
        <w:tc>
          <w:tcPr>
            <w:tcW w:w="51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x</w:t>
            </w:r>
          </w:p>
        </w:tc>
        <w:tc>
          <w:tcPr>
            <w:tcW w:w="148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(Hệ số chênh lệch bảo lưu hiện hưởng (nếu có))</w:t>
            </w:r>
          </w:p>
        </w:tc>
      </w:tr>
    </w:tbl>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2. Đối với đại biểu Hội đồng nhân dân các cấp quy định tại khoản 6 Điều 1 Thông tư này:</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Căn cứ vào hệ số hoạt động phí đối với đại biểu Hội đồng nhân dân các cấp theo quy định của pháp luật hiện hành để tính mức hoạt động phí theo công thức sau:</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941"/>
        <w:gridCol w:w="643"/>
        <w:gridCol w:w="1837"/>
        <w:gridCol w:w="919"/>
        <w:gridCol w:w="2666"/>
      </w:tblGrid>
      <w:tr w:rsidTr="00514E1B">
        <w:trPr>
          <w:tblCellSpacing w:w="0" w:type="dxa"/>
        </w:trPr>
        <w:tc>
          <w:tcPr>
            <w:tcW w:w="1633" w:type="pct"/>
            <w:tcBorders>
              <w:top w:val="nil"/>
              <w:left w:val="single" w:sz="8" w:space="0" w:color="auto"/>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hoạt động phí thực hiện từ ngày 01 tháng 7 năm 2024)</w:t>
            </w:r>
          </w:p>
        </w:tc>
        <w:tc>
          <w:tcPr>
            <w:tcW w:w="357"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w:t>
            </w:r>
          </w:p>
        </w:tc>
        <w:tc>
          <w:tcPr>
            <w:tcW w:w="102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(Mức lương cơ sở 2.340.000 đồng/tháng)</w:t>
            </w:r>
          </w:p>
        </w:tc>
        <w:tc>
          <w:tcPr>
            <w:tcW w:w="51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x</w:t>
            </w:r>
          </w:p>
        </w:tc>
        <w:tc>
          <w:tcPr>
            <w:tcW w:w="1480" w:type="pct"/>
            <w:tcBorders>
              <w:top w:val="nil"/>
              <w:left w:val="nil"/>
              <w:bottom w:val="nil"/>
              <w:right w:val="single" w:sz="8" w:space="0" w:color="auto"/>
            </w:tcBorders>
            <w:shd w:val="clear" w:color="auto" w:fill="FFFFFF"/>
            <w:vAlign w:val="center"/>
            <w:hideMark/>
          </w:tcPr>
          <w:p>
            <w:pPr>
              <w:jc w:val="center"/>
              <w:rPr>
                <w:rFonts w:ascii="Arial" w:hAnsi="Arial" w:cs="Arial"/>
                <w:color w:val="000000" w:themeColor="text1"/>
                <w:sz w:val="20"/>
                <w:szCs w:val="20"/>
              </w:rPr>
            </w:pPr>
            <w:r w:rsidRPr="00442041">
              <w:rPr>
                <w:rFonts w:ascii="Arial" w:hAnsi="Arial" w:cs="Arial"/>
                <w:color w:val="000000" w:themeColor="text1"/>
                <w:sz w:val="20"/>
                <w:szCs w:val="20"/>
              </w:rPr>
              <w:t xml:space="preserve">(Hệ số hoạt động phí theo quy định)</w:t>
            </w:r>
          </w:p>
        </w:tc>
      </w:tr>
    </w:tbl>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3. Đối với những người hoạt động không chuyên trách ở cấp xã, ở thôn, tổ dân phố quy định tại khoản 5 Điều 1 Thông tư này, quỹ phụ cấp được ngân sách nhà nước khoán đối với mỗi cấp xã, mỗi thôn, tổ dân phố quy định tại khoản 1 và khoản 2 Điều 34 Nghị định số 33/2023/NĐ-CP ngày 10 tháng 6 năm 2023 của Chính phủ được tính theo mức lương cơ sở 2.340.000 đồng/tháng. Việc quy định cụ thể mức phụ cấp đối với các đối tượng này thực hiện theo quy định tại khoản 1 và khoản 2 Điều 34 Nghị định số 33/2023/NĐ-CP.</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4. Đối với người làm việc trong tổ chức cơ yếu quy định tại khoản 7 Điều 1 Thông tư này:</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a) Người làm việc trong tổ chức cơ yếu thuộc phạm vi quản lý của Bộ Quốc phòng và Bộ Công an thực hiện theo hướng dẫn của Bộ trưởng Bộ Quốc phòng và Bộ trưởng Bộ Công an;</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b) Người làm việc trong tổ chức cơ yếu trong các cơ quan Đảng, Nhà nước, tổ chức chính trị - xã hội (không thuộc phạm vi quản lý của Bộ Quốc phòng và Bộ Công an), thực hiện tính mức lương, mức phụ cấp và mức tiền của hệ số chênh lệch bảo lưu (nếu có) theo cách tính quy định tại khoản 1 Điều 3 Thông tư này.</w:t>
      </w:r>
    </w:p>
    <w:p>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 xml:space="preserve">Điều 4. Hiệu lực thi hành</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1. Thông tư này có hiệu lực thi hành kể từ ngày 05 tháng 7 năm 2024.</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2. Chế độ quy định tại Thông tư này được thực hiện kể từ ngày 01 tháng 7 năm 2024.</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3. Thông tư này thay thế Thông tư số 10/2023/TT-BNV ngày 26 tháng 6 năm 2023 của Bộ trưởng Bộ Nội vụ hướng dẫn thực hiện mức lương cơ sở đối với các đối tượng hưởng lương, phụ cấp trong các cơ quan, tổ chức, đơn vị sự nghiệp công lập của Đảng, Nhà nước, Mặt trận Tổ quốc Việt Nam, tổ chức chính trị - xã hội và hội.</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4. Các khoản trích và các chế độ được hưởng tính theo mức lương cơ sở được tính lại tương ứng từ ngày 01 tháng 7 năm 2024.</w:t>
      </w:r>
    </w:p>
    <w:p>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 xml:space="preserve">Điều 5. Trách nhiệm thi hành</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1. Người đứng đầu cơ quan, đơn vị trực tiếp quản lý các đối tượng hưởng lương, phụ cấp và hoạt động phí quy định tại Điều 1 Thông tư này, căn cứ vào sô đối tượng đến ngày 01 tháng 7 năm 2024 để tính mức lương, mức phụ cấp, mức tiền của hệ số chênh lệch bảo lưu (nếu có) và hoạt động phí theo hướng dẫn tại Thông tư này.</w:t>
      </w:r>
    </w:p>
    <w:p>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2. Việc xác định nhu cầu, nguồn và phương thức chi thực hiện mức lương cơ sở theo Nghị định số 73/2024/NĐ-CP thực hiện theo hướng dẫn của Bộ trưởng Bộ Tài chính.</w:t>
      </w:r>
    </w:p>
    <w:p>
      <w:pPr>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xml:space="preserve">Trong quá trình thực hiện nếu có vướng mắc, đề nghị các Bộ, ngành, địa phương phản ánh về Bộ Nội vụ để nghiên cứu, giải quyết./.</w:t>
      </w:r>
    </w:p>
    <w:p>
      <w:pPr>
        <w:rPr>
          <w:rFonts w:ascii="Arial" w:hAnsi="Arial" w:cs="Arial"/>
          <w:color w:val="000000" w:themeColor="text1"/>
          <w:sz w:val="20"/>
          <w:szCs w:val="20"/>
        </w:rPr>
      </w:pPr>
      <w:r w:rsidRPr="00442041">
        <w:rPr>
          <w:rFonts w:ascii="Arial" w:hAnsi="Arial" w:cs="Arial"/>
          <w:color w:val="000000" w:themeColor="text1"/>
          <w:sz w:val="20"/>
          <w:szCs w:val="20"/>
        </w:rPr>
        <w:t xml:space="preserve"> </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44"/>
        <w:gridCol w:w="4482"/>
      </w:tblGrid>
      <w:tr w:rsidTr="00442041">
        <w:trPr>
          <w:tblCellSpacing w:w="0" w:type="dxa"/>
        </w:trPr>
        <w:tc>
          <w:tcPr>
            <w:tcW w:w="2517" w:type="pct"/>
            <w:shd w:val="clear" w:color="auto" w:fill="FFFFFF"/>
            <w:tcMar>
              <w:top w:w="0" w:type="dxa"/>
              <w:left w:w="108" w:type="dxa"/>
              <w:bottom w:w="0" w:type="dxa"/>
              <w:right w:w="108" w:type="dxa"/>
            </w:tcMar>
            <w:hideMark/>
          </w:tcPr>
          <w:p>
            <w:pPr>
              <w:rPr>
                <w:rFonts w:ascii="Arial" w:hAnsi="Arial" w:cs="Arial"/>
                <w:color w:val="000000" w:themeColor="text1"/>
                <w:sz w:val="20"/>
                <w:szCs w:val="20"/>
              </w:rPr>
            </w:pPr>
            <w:r w:rsidRPr="00442041">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442041">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442041">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442041">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442041">
              <w:rPr>
                <w:rFonts w:ascii="Arial" w:hAnsi="Arial" w:cs="Arial"/>
                <w:color w:val="000000" w:themeColor="text1"/>
                <w:sz w:val="20"/>
                <w:szCs w:val="20"/>
              </w:rPr>
              <w:t xml:space="preserve">- HĐND, UBND các tỉnh, TP trực thuộc TW;</w:t>
            </w:r>
            <w:r>
              <w:rPr>
                <w:rFonts w:ascii="Arial" w:hAnsi="Arial" w:cs="Arial"/>
                <w:color w:val="000000" w:themeColor="text1"/>
                <w:sz w:val="20"/>
                <w:szCs w:val="20"/>
              </w:rPr>
              <w:br/>
            </w:r>
            <w:r w:rsidRPr="00442041">
              <w:rPr>
                <w:rFonts w:ascii="Arial" w:hAnsi="Arial" w:cs="Arial"/>
                <w:color w:val="000000" w:themeColor="text1"/>
                <w:sz w:val="20"/>
                <w:szCs w:val="20"/>
              </w:rPr>
              <w:t xml:space="preserve">- Văn phòng Trung ương và các Ban của Trung ương Đảng;</w:t>
            </w:r>
            <w:r>
              <w:rPr>
                <w:rFonts w:ascii="Arial" w:hAnsi="Arial" w:cs="Arial"/>
                <w:color w:val="000000" w:themeColor="text1"/>
                <w:sz w:val="20"/>
                <w:szCs w:val="20"/>
              </w:rPr>
              <w:br/>
            </w:r>
            <w:r w:rsidRPr="00442041">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442041">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442041">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442041">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442041">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442041">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442041">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442041">
              <w:rPr>
                <w:rFonts w:ascii="Arial" w:hAnsi="Arial" w:cs="Arial"/>
                <w:color w:val="000000" w:themeColor="text1"/>
                <w:sz w:val="20"/>
                <w:szCs w:val="20"/>
              </w:rPr>
              <w:t xml:space="preserve">- UBTW Mặt trận Tổ quốc Việt Nam;</w:t>
            </w:r>
            <w:r>
              <w:rPr>
                <w:rFonts w:ascii="Arial" w:hAnsi="Arial" w:cs="Arial"/>
                <w:color w:val="000000" w:themeColor="text1"/>
                <w:sz w:val="20"/>
                <w:szCs w:val="20"/>
              </w:rPr>
              <w:br/>
            </w:r>
            <w:r w:rsidRPr="00442041">
              <w:rPr>
                <w:rFonts w:ascii="Arial" w:hAnsi="Arial" w:cs="Arial"/>
                <w:color w:val="000000" w:themeColor="text1"/>
                <w:sz w:val="20"/>
                <w:szCs w:val="20"/>
              </w:rPr>
              <w:t xml:space="preserve">- Cơ quan TW của các đoàn thể;</w:t>
            </w:r>
            <w:r>
              <w:rPr>
                <w:rFonts w:ascii="Arial" w:hAnsi="Arial" w:cs="Arial"/>
                <w:color w:val="000000" w:themeColor="text1"/>
                <w:sz w:val="20"/>
                <w:szCs w:val="20"/>
              </w:rPr>
              <w:br/>
            </w:r>
            <w:r w:rsidRPr="00442041">
              <w:rPr>
                <w:rFonts w:ascii="Arial" w:hAnsi="Arial" w:cs="Arial"/>
                <w:color w:val="000000" w:themeColor="text1"/>
                <w:sz w:val="20"/>
                <w:szCs w:val="20"/>
              </w:rPr>
              <w:t xml:space="preserve">- Bộ Tư pháp (Cục Kiểm tra văn bản);</w:t>
            </w:r>
            <w:r>
              <w:rPr>
                <w:rFonts w:ascii="Arial" w:hAnsi="Arial" w:cs="Arial"/>
                <w:color w:val="000000" w:themeColor="text1"/>
                <w:sz w:val="20"/>
                <w:szCs w:val="20"/>
              </w:rPr>
              <w:br/>
            </w:r>
            <w:r w:rsidRPr="00442041">
              <w:rPr>
                <w:rFonts w:ascii="Arial" w:hAnsi="Arial" w:cs="Arial"/>
                <w:color w:val="000000" w:themeColor="text1"/>
                <w:sz w:val="20"/>
                <w:szCs w:val="20"/>
              </w:rPr>
              <w:t xml:space="preserve">- Công báo;</w:t>
            </w:r>
            <w:r>
              <w:rPr>
                <w:rFonts w:ascii="Arial" w:hAnsi="Arial" w:cs="Arial"/>
                <w:color w:val="000000" w:themeColor="text1"/>
                <w:sz w:val="20"/>
                <w:szCs w:val="20"/>
              </w:rPr>
              <w:br/>
            </w:r>
            <w:r w:rsidRPr="00442041">
              <w:rPr>
                <w:rFonts w:ascii="Arial" w:hAnsi="Arial" w:cs="Arial"/>
                <w:color w:val="000000" w:themeColor="text1"/>
                <w:sz w:val="20"/>
                <w:szCs w:val="20"/>
              </w:rPr>
              <w:t xml:space="preserve">- Cổng thông tin điện tử Chính phủ;</w:t>
            </w:r>
            <w:r>
              <w:rPr>
                <w:rFonts w:ascii="Arial" w:hAnsi="Arial" w:cs="Arial"/>
                <w:color w:val="000000" w:themeColor="text1"/>
                <w:sz w:val="20"/>
                <w:szCs w:val="20"/>
              </w:rPr>
              <w:br/>
            </w:r>
            <w:r w:rsidRPr="00442041">
              <w:rPr>
                <w:rFonts w:ascii="Arial" w:hAnsi="Arial" w:cs="Arial"/>
                <w:color w:val="000000" w:themeColor="text1"/>
                <w:sz w:val="20"/>
                <w:szCs w:val="20"/>
              </w:rPr>
              <w:t xml:space="preserve">- Cổng thông tin điện tử Bộ Nội vụ;</w:t>
            </w:r>
            <w:r>
              <w:rPr>
                <w:rFonts w:ascii="Arial" w:hAnsi="Arial" w:cs="Arial"/>
                <w:color w:val="000000" w:themeColor="text1"/>
                <w:sz w:val="20"/>
                <w:szCs w:val="20"/>
              </w:rPr>
              <w:br/>
            </w:r>
            <w:r w:rsidRPr="00442041">
              <w:rPr>
                <w:rFonts w:ascii="Arial" w:hAnsi="Arial" w:cs="Arial"/>
                <w:color w:val="000000" w:themeColor="text1"/>
                <w:sz w:val="20"/>
                <w:szCs w:val="20"/>
              </w:rPr>
              <w:t xml:space="preserve">- Bộ trưởng và các Thứ trưởng;</w:t>
            </w:r>
            <w:r>
              <w:rPr>
                <w:rFonts w:ascii="Arial" w:hAnsi="Arial" w:cs="Arial"/>
                <w:color w:val="000000" w:themeColor="text1"/>
                <w:sz w:val="20"/>
                <w:szCs w:val="20"/>
              </w:rPr>
              <w:br/>
            </w:r>
            <w:r w:rsidRPr="00442041">
              <w:rPr>
                <w:rFonts w:ascii="Arial" w:hAnsi="Arial" w:cs="Arial"/>
                <w:color w:val="000000" w:themeColor="text1"/>
                <w:sz w:val="20"/>
                <w:szCs w:val="20"/>
              </w:rPr>
              <w:t xml:space="preserve">- Các đơn vị thuộc và trực thuộc Bộ Nội vụ;</w:t>
            </w:r>
            <w:r>
              <w:rPr>
                <w:rFonts w:ascii="Arial" w:hAnsi="Arial" w:cs="Arial"/>
                <w:color w:val="000000" w:themeColor="text1"/>
                <w:sz w:val="20"/>
                <w:szCs w:val="20"/>
              </w:rPr>
              <w:br/>
            </w:r>
            <w:r w:rsidRPr="00442041">
              <w:rPr>
                <w:rFonts w:ascii="Arial" w:hAnsi="Arial" w:cs="Arial"/>
                <w:color w:val="000000" w:themeColor="text1"/>
                <w:sz w:val="20"/>
                <w:szCs w:val="20"/>
              </w:rPr>
              <w:t xml:space="preserve">- Lưu: VT, Vụ TL (10).</w:t>
            </w:r>
          </w:p>
        </w:tc>
        <w:tc>
          <w:tcPr>
            <w:tcW w:w="2483" w:type="pct"/>
            <w:shd w:val="clear" w:color="auto" w:fill="FFFFFF"/>
          </w:tcPr>
          <w:p>
            <w:pPr>
              <w:jc w:val="center"/>
              <w:rPr>
                <w:rFonts w:ascii="Arial" w:hAnsi="Arial" w:cs="Arial"/>
                <w:b/>
                <w:bCs/>
                <w:color w:val="000000" w:themeColor="text1"/>
                <w:sz w:val="20"/>
                <w:szCs w:val="20"/>
              </w:rPr>
            </w:pPr>
            <w:r w:rsidRPr="00442041">
              <w:rPr>
                <w:rFonts w:ascii="Arial" w:hAnsi="Arial" w:cs="Arial"/>
                <w:b/>
                <w:bCs/>
                <w:color w:val="000000" w:themeColor="text1"/>
                <w:sz w:val="20"/>
                <w:szCs w:val="20"/>
              </w:rPr>
              <w:t xml:space="preserve">BỘ TRƯỞNG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442041">
              <w:rPr>
                <w:rFonts w:ascii="Arial" w:hAnsi="Arial" w:cs="Arial"/>
                <w:b/>
                <w:bCs/>
                <w:color w:val="000000" w:themeColor="text1"/>
                <w:sz w:val="20"/>
                <w:szCs w:val="20"/>
              </w:rPr>
              <w:t xml:space="preserve">Phạm Thị Thanh Trà</w:t>
            </w:r>
          </w:p>
        </w:tc>
      </w:tr>
    </w:tbl>
    <w:p>
      <w:pPr>
        <w:rPr>
          <w:rFonts w:ascii="Arial" w:hAnsi="Arial" w:cs="Arial"/>
          <w:color w:val="000000" w:themeColor="text1"/>
          <w:sz w:val="20"/>
          <w:szCs w:val="20"/>
        </w:rPr>
      </w:pPr>
    </w:p>
    <w:sectPr w:rsidSect="00442041">
      <w:headerReference w:type="default" r:id="rId3"/>
      <w:footerReference w:type="default" r:id="rId4"/>
      <w:pgSz w:w="11906" w:h="16838" w:orient="portrait" w:code="9"/>
      <w:pgMar w:top="1440" w:right="1440" w:bottom="1440" w:left="1440" w:header="800" w:footer="800" w:gutter="0"/>
      <w:cols w:num="1" w:space="708">
        <w:col w:w="9026" w:space="708"/>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000247B" w:usb2="00000009" w:usb3="00000000" w:csb0="000001FF" w:csb1="00000000"/>
  </w:font>
  <w:font w:name="Yu Mincho">
    <w:altName w:val="游明朝"/>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EFF" w:usb1="C000785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GB"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游明朝" w:hAnsi="Calibri" w:asciiTheme="minorHAnsi" w:eastAsiaTheme="minorEastAsia" w:hAnsiTheme="minorHAnsi" w:cs="Arial" w:cstheme="minorBidi"/>
        <w:sz w:val="22"/>
        <w:szCs w:val="22"/>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sid w:val="00442041"/>
    <w:rPr>
      <w:rFonts w:ascii="Times New Roman" w:eastAsia="Times New Roman" w:hAnsi="Times New Roman" w:cs="Times New Roman"/>
    </w:rPr>
  </w:style>
  <w:style w:type="paragraph" w:styleId="BodyText">
    <w:name w:val="Body Text"/>
    <w:basedOn w:val="Normal"/>
    <w:qFormat/>
    <w:rsid w:val="00442041"/>
    <w:pPr>
      <w:widowControl w:val="0"/>
      <w:spacing w:after="100" w:line="262" w:lineRule="auto"/>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442041"/>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66755">
      <w:marLeft w:val="0"/>
      <w:marRight w:val="0"/>
      <w:marTop w:val="0"/>
      <w:marBottom w:val="0"/>
      <w:divBdr>
        <w:top w:val="none" w:sz="0" w:space="0" w:color="auto"/>
        <w:left w:val="none" w:sz="0" w:space="0" w:color="auto"/>
        <w:bottom w:val="none" w:sz="0" w:space="0" w:color="auto"/>
        <w:right w:val="none" w:sz="0" w:space="0" w:color="auto"/>
      </w:divBdr>
    </w:div>
    <w:div w:id="19912105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dc:description/>
  <cp:lastModifiedBy>Anh Vũ</cp:lastModifiedBy>
  <cp:revision>2</cp:revision>
  <dcterms:created xsi:type="dcterms:W3CDTF">2024-07-08T04:19:00Z</dcterms:created>
  <dcterms:modified xsi:type="dcterms:W3CDTF">2024-07-08T04:19:00Z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Pages>
  <Words>1518</Words>
  <Characters>8656</Characters>
  <Application>Microsoft Office Word</Application>
  <DocSecurity>0</DocSecurity>
  <Lines>72</Lines>
  <Paragraphs>20</Paragraphs>
  <ScaleCrop>false</ScaleCrop>
  <Company/>
  <LinksUpToDate>false</LinksUpToDate>
  <CharactersWithSpaces>10154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Pages>
  <Words>1518</Words>
  <Characters>8656</Characters>
  <Application>Microsoft Office Word</Application>
  <DocSecurity>0</DocSecurity>
  <Lines>72</Lines>
  <Paragraphs>20</Paragraphs>
  <CharactersWithSpaces>10154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2024-07-08T04:19:00Z</dcterms:created>
  <dcterms:modified xsi:type="dcterms:W3CDTF">2024-07-08T04:19:00Z</dcterms:modified>
</cp:coreProperties>
</file>