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NGHIỆP</w:t>
            </w:r>
          </w:p>
          <w:p>
            <w:pPr>
              <w:pStyle w:val="Normal(Web)"/>
              <w:divId w:val="2"/>
              <w:jc w:val="center"/>
              <w:rPr>
                <w:vanish w:val="0"/>
              </w:rPr>
            </w:pPr>
            <w:r>
              <w:t xml:space="preserve">Số: </w:t>
            </w:r>
            <w:hyperlink r:id="rId3" w:history="1">
              <w:r>
                <w:rPr>
                  <w:rStyle w:val="Hyperlink"/>
                </w:rPr>
                <w:t xml:space="preserve">01/2006/TT-BCN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4 năm 2006</w:t>
            </w:r>
          </w:p>
        </w:tc>
      </w:tr>
    </w:tbl>
    <w:p>
      <w:pPr>
        <w:pStyle w:val="Heading3"/>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30"/>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quản lý xuất khẩu, nhập khẩu hoá chất độc và sản phẩm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hoá chất độc hại, tiền chất ma tuý, hoá chất theo tiêu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thuộc diện quản lý chuyên ngành của Bộ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55/2003/NĐ-CP </w:t>
        </w:r>
      </w:hyperlink>
      <w:r>
        <w:rPr>
          <w:i/>
        </w:rPr>
        <w:t xml:space="preserve"> ngày 28 tháng 5 năm 2003 của Chính phủ quy định chức năng, nhiệm vụ, quyền hạn và cơ cấu tổ chức của Bộ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12/2006/NĐ-CP </w:t>
        </w:r>
      </w:hyperlink>
      <w:r>
        <w:rPr>
          <w:i/>
        </w:rPr>
        <w:t xml:space="preserve"> ngày 23 tháng 01 năm 2006 của Chính phủ quy định chi tiết thi hành Luật Thương mại về hoạt động mua bán hàng hoá quốc tế và các hoạt động đại lý mua, bán, gia công và quá cảnh hàng hoá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100/2005/NĐ-CP </w:t>
        </w:r>
      </w:hyperlink>
      <w:r>
        <w:rPr>
          <w:i/>
        </w:rPr>
        <w:t xml:space="preserve"> ngày 03 tháng 8 năm 2005 của Chính phủ về thực hiện Công ước cấm phát triển sản xuất, tàng trữ, sử dụng và phá huỷ vũ khí hoá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68/2005/NĐ-CP </w:t>
        </w:r>
      </w:hyperlink>
      <w:r>
        <w:rPr>
          <w:i/>
        </w:rPr>
        <w:t xml:space="preserve"> ngày 20 tháng 5 năm 2005 của Chính phủ về An toàn hoá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Phòng, Chống ma tuý và các văn bản hướng dẫn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Công nghiệp hướng dẫn quản lý xuất khẩu, nhập khẩu hoá chất Bảng thuộc Công ước cấm phát triển, sản xuất, tàng trữ, sử dụng và phá huỷ vũ khÝ hoá học; hoá chất độc hại và sản phẩm có hoá chất độc hại, tiền chất ma tuý, hoá chất nhập khẩu theo tiêu chuẩn kỹ thuật thuộc diện quản lý chuyên ngành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Công nghiệp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w:t>
      </w:r>
      <w:r>
        <w:t xml:space="preserve">Việc xuất khẩu, nhập khẩu hoá chất Bảng 1 thuộc Công ước cấm phát triển sản xuất, tàng trữ, sử dụng và phá huỷ vũ khí hoá học trong những trường hợp đặc biệt cho mục đích nghiên cứu, y tế, dược phẩm hoặc bảo vệ, thực hiện theo quy định Nghị định số 100/2005/NĐ-CP ngày 03 tháng 8 năm 2005 của Chính phủ về thực hiện Công ước và Quyết định số 05/2006/QĐ-BCN ngày 07 tháng 4 năm 2006 của Bộ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w:t>
      </w:r>
      <w:r>
        <w:t xml:space="preserve"> Hàng hoá là hoá chất độc, hoá chất độc hại, sản phẩm có hoá chất độc hại quá cảnh, tạm nhập tái xuất thực hiện theo các quy định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w:t>
      </w:r>
      <w:r>
        <w:t xml:space="preserve">Việc đảm bảo an toàn cho xuÊt khÈu, nhËp khẩu hoá chất Bảng thuộc Công ước cấm phát triển, sản xuất, tàng trữ, sử dụng và phá huỷ vũ khí hoá học; hoá chất độc hại và sản phẩm có hoá chất độc hại, tiền chất ma tuý, hoá chất nhập khẩu theo tiêu chuẩn kỹ thuật thuộc diện quản lý chuyên ngành của Bộ Công nghiệp thực hiện theo quy định Nghị định số 68/2005/NĐ-CP ngày 20 tháng 5 năm 2005 của Chính phủ về An toàn hoá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w:t>
      </w:r>
      <w:r>
        <w:t xml:space="preserve"> Thương nhân xuất khẩu, nhập khẩu chịu trách nhiệm về tính chính xác của số liệu khai báo khi xuất khẩu, nhập khẩu; quản lý và sử dụng hoá chất nhập khẩu theo đúng mục đích nhập khẩu và theo các quy định có liên quan; nếu có các hành vi vi phạm sẽ bị xử lý theo qui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w:t>
      </w:r>
      <w:r>
        <w:t xml:space="preserve"> Thương nhân có giấy chứng nhận đăng ký kinh doanh và đã đăng ký mã số doanh nghiệp xuất nhập khẩu tại Cục Hải quan tỉnh, thành phố trực thuộc Trung ương, được phép xuất khẩu, nhập khẩu hoá chất để phục vụ trực tiếp cho sản xuất, nghiên cứu và kinh doanh theo nhu cầu sử dụng và khả năng kinh doanh (trừ các loại hoá chất là tiền chất sử dụng trong lĩnh vực công nghiệp trong Phụ lục số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xuất khẩu, nhập khẩu những hoá chất là tiền chất sử dụng trong lĩnh vực công nghiệp thuộc Phụ lục số 1 thực hiện theo Luật Phòng, chống ma tuý ngày 09 tháng 12 năm 2000; Quy chế quản lý tiền chất sử dụng trong lĩnh vực công nghiệp đã ban hành kèm theo Quyết định số 134/2003/QĐ-BCN ngày 25 tháng 8 năm 2003 và số 04/2004/QĐ-BCN ngày 07 tháng 01 năm 2004 của Bộ Công nghiệp và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w:t>
      </w:r>
      <w:r>
        <w:t xml:space="preserve">Xuất khẩu, nhập khẩu hoá chất Bảng 2 và hoá chất Bảng 3 thuộc Phụ lục số 2 thực hiện theo Nghị định số 100/2005/NĐ-CP ngày 03 tháng 8 năm 2005 của Chính phủ về thực hiện Công ước cấm phát triển sản xuất, tàng trữ, sử dụng và phá huỷ vũ khí hoá học và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w:t>
      </w:r>
      <w:r>
        <w:t xml:space="preserve"> Thương nhân nhập khẩu hoá chất độc hại và sản phẩm có hoá chất độc hại thuộc danh mục nhập khẩu có điều kiện trong Phụ lục số 3 để kinh doanh, phải có Giấy chứng nhận đủ điều kiện bảo vệ môi trường trong kinh doanh hoá chất do Sở Tài nguyên và Môi trường tỉnh, thành phố trực thuộc trung ương cấp theo các quy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w:t>
      </w:r>
      <w:r>
        <w:t xml:space="preserve"> Khi nhập khẩu hoá chất ghi trong Phụ lục số 4 của Thông tư này, thương nhân phải kê khai đầy đủ các tiêu chuẩn chất lượng và tiêu chuẩn kỹ thuật tương ứng để cơ quan Hải quan kiểm tra, đối chiếu. Trường hợp có nghi vấn về khai sai lệch tiêu chuẩn chất lượng và tiêu chuẩn kỹ thuật, Cơ quan Hải quan quyết định trưng cầu giám định, thông quan theo quy định hiện hành. Việc nhập khẩu những hoá chất phục vụ trực tiếp cho sản xuất có tiêu chuẩn thấp hơn quy định tại Phụ lục này phải có ý kiến đồng ý bằng văn bản của Bộ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từ ngày 01 tháng 5 năm 2006. Các quy định trước đây về h­íng dẫn quản lý xuất khẩu, nhập khẩu hoá chất độc; hoá chất độc hại và sản phẩm có hoá chất độc hại, tiền chất ma tuý; hoá chất nhập khẩu theo tiêu chuẩn kỹ thuật thuộc diện quản lý chuyên ngành của Bộ Công nghiệp trái với Thông tư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các ngành, địa phương, đơn vị phản ánh về Bộ Công nghiệp để kịp thời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Xuân Thuý</w:t>
            </w:r>
          </w:p>
        </w:tc>
      </w:tr>
    </w:tbl>
    <w:p>
      <w:pP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1-2006-tt-bcn.aspx" TargetMode="External" /><Relationship Id="rId4" Type="http://schemas.openxmlformats.org/officeDocument/2006/relationships/hyperlink" Target="/nghi-dinh-so-55-2003-nd-cp-cua-chinh-phu---nghi-dinh-quy-dinh-chuc-nang--nhiem-vu--quyen-han-va-co-cau-to-chuc-cua-bo-cong-nghiep.aspx" TargetMode="External" /><Relationship Id="rId5" Type="http://schemas.openxmlformats.org/officeDocument/2006/relationships/hyperlink" Target="/nghi-dinh-so-12-2006-nd-cp-ve-hoat-dong-mua-ban-hang-hoa-quoc-te.aspx" TargetMode="External" /><Relationship Id="rId6" Type="http://schemas.openxmlformats.org/officeDocument/2006/relationships/hyperlink" Target="/nghi-dinh-so-100-2005-nd-cp-cua-chinh-phu---nghi-dinh-ve-thuc-hien-cong-uoc-cam-phat-trien--san-xuat--tang-tru--su-dung-va-pha-huy-vu-khi-hoa-hoc.aspx" TargetMode="External" /><Relationship Id="rId7" Type="http://schemas.openxmlformats.org/officeDocument/2006/relationships/hyperlink" Target="/nghi-dinh-so-68-2005-nd-cp-cua-chinh-phu---nghi-dinh-ve-an-toan-hoa-cha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2022-06-22T11:41:02Z</dcterms:created>
  <dcterms:modified xsi:type="dcterms:W3CDTF">2022-06-22T11:41:02Z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2022-06-22T11:41:02Z</dcterms:created>
  <dcterms:modified xsi:type="dcterms:W3CDTF">2022-06-22T11:41:02Z</dcterms:modified>
</cp:coreProperties>
</file>