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5466"/>
      </w:tblGrid>
      <w:tr w:rsidR="00664457" w14:paraId="5F0AECBE" w14:textId="77777777" w:rsidTr="00664457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3B2A9" w14:textId="77777777" w:rsidR="00664457" w:rsidRDefault="00664457">
            <w:pPr>
              <w:spacing w:before="120"/>
              <w:jc w:val="center"/>
            </w:pPr>
            <w:r>
              <w:rPr>
                <w:b/>
                <w:bCs/>
              </w:rPr>
              <w:t xml:space="preserve">BỘ QUỐC PHÒNG - </w:t>
            </w:r>
            <w:r>
              <w:rPr>
                <w:b/>
                <w:bCs/>
              </w:rPr>
              <w:br/>
              <w:t xml:space="preserve">BỘ CÔNG AN </w:t>
            </w:r>
            <w:r>
              <w:rPr>
                <w:b/>
                <w:bCs/>
              </w:rPr>
              <w:br/>
              <w:t>--------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9E88B" w14:textId="77777777" w:rsidR="00664457" w:rsidRDefault="00664457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----------------</w:t>
            </w:r>
          </w:p>
        </w:tc>
      </w:tr>
      <w:tr w:rsidR="00664457" w14:paraId="2C912154" w14:textId="77777777" w:rsidTr="00664457"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92378" w14:textId="77777777" w:rsidR="00664457" w:rsidRDefault="00664457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265/2013/TTLT-BQP-BCA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28264" w14:textId="77777777" w:rsidR="00664457" w:rsidRDefault="00664457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31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2013</w:t>
            </w:r>
          </w:p>
        </w:tc>
      </w:tr>
    </w:tbl>
    <w:p w14:paraId="56B855AD" w14:textId="77777777" w:rsidR="00664457" w:rsidRDefault="00664457" w:rsidP="00664457">
      <w:pPr>
        <w:spacing w:before="120" w:after="100" w:afterAutospacing="1"/>
        <w:jc w:val="center"/>
      </w:pPr>
      <w:r>
        <w:rPr>
          <w:b/>
          <w:bCs/>
        </w:rPr>
        <w:t> </w:t>
      </w:r>
    </w:p>
    <w:p w14:paraId="78BBB698" w14:textId="77777777" w:rsidR="00664457" w:rsidRDefault="00664457" w:rsidP="00664457">
      <w:pPr>
        <w:spacing w:before="120" w:after="100" w:afterAutospacing="1"/>
        <w:jc w:val="center"/>
      </w:pPr>
      <w:bookmarkStart w:id="0" w:name="loai_1"/>
      <w:r>
        <w:rPr>
          <w:b/>
          <w:bCs/>
        </w:rPr>
        <w:t>THÔNG TƯ LIÊN TỊCH</w:t>
      </w:r>
      <w:bookmarkEnd w:id="0"/>
    </w:p>
    <w:p w14:paraId="5458E2DF" w14:textId="77777777" w:rsidR="00664457" w:rsidRDefault="00664457" w:rsidP="00664457">
      <w:pPr>
        <w:spacing w:before="120" w:after="100" w:afterAutospacing="1"/>
        <w:jc w:val="center"/>
      </w:pPr>
      <w:bookmarkStart w:id="1" w:name="loai_1_name"/>
      <w:r>
        <w:t>QUY ĐỊNH VIỆC PHỐI HỢP BẢO VỆ CƯỠNG CHẾ THI HÀNH ÁN DÂN SỰ TRONG QUÂN ĐỘI</w:t>
      </w:r>
      <w:bookmarkEnd w:id="1"/>
    </w:p>
    <w:p w14:paraId="71047660" w14:textId="77777777" w:rsidR="00664457" w:rsidRDefault="00664457" w:rsidP="00664457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ccuezhabwt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bookmarkEnd w:id="2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2008;</w:t>
      </w:r>
    </w:p>
    <w:p w14:paraId="533E3A42" w14:textId="77777777" w:rsidR="00664457" w:rsidRDefault="00664457" w:rsidP="00664457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35/2013/NĐ-CP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4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2013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>;</w:t>
      </w:r>
    </w:p>
    <w:p w14:paraId="154DD9B6" w14:textId="77777777" w:rsidR="00664457" w:rsidRDefault="00664457" w:rsidP="00664457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77/2009/NĐ-CP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15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9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2009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an;</w:t>
      </w:r>
    </w:p>
    <w:p w14:paraId="66A5C586" w14:textId="77777777" w:rsidR="00664457" w:rsidRDefault="00664457" w:rsidP="00664457">
      <w:pPr>
        <w:spacing w:before="120" w:after="100" w:afterAutospacing="1"/>
      </w:pP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an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bảo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vệ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cưỡng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sự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đội</w:t>
      </w:r>
      <w:proofErr w:type="spellEnd"/>
      <w:r>
        <w:rPr>
          <w:i/>
          <w:iCs/>
        </w:rPr>
        <w:t>,</w:t>
      </w:r>
    </w:p>
    <w:p w14:paraId="00979E8B" w14:textId="77777777" w:rsidR="00664457" w:rsidRDefault="00664457" w:rsidP="00664457">
      <w:pPr>
        <w:spacing w:before="120" w:after="100" w:afterAutospacing="1"/>
        <w:jc w:val="center"/>
      </w:pPr>
      <w:bookmarkStart w:id="3" w:name="chuong_1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1.</w:t>
      </w:r>
      <w:bookmarkEnd w:id="3"/>
    </w:p>
    <w:p w14:paraId="53A9ED72" w14:textId="77777777" w:rsidR="00664457" w:rsidRDefault="00664457" w:rsidP="00664457">
      <w:pPr>
        <w:spacing w:before="120" w:after="100" w:afterAutospacing="1"/>
        <w:jc w:val="center"/>
      </w:pPr>
      <w:bookmarkStart w:id="4" w:name="chuong_1_name"/>
      <w:r>
        <w:rPr>
          <w:b/>
          <w:bCs/>
        </w:rPr>
        <w:t>QUY ĐỊNH CHUNG</w:t>
      </w:r>
      <w:bookmarkEnd w:id="4"/>
    </w:p>
    <w:p w14:paraId="39071C09" w14:textId="77777777" w:rsidR="00664457" w:rsidRDefault="00664457" w:rsidP="00664457">
      <w:pPr>
        <w:spacing w:before="120" w:after="100" w:afterAutospacing="1"/>
      </w:pPr>
      <w:bookmarkStart w:id="5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5"/>
      <w:proofErr w:type="spellEnd"/>
    </w:p>
    <w:p w14:paraId="60CB609B" w14:textId="77777777" w:rsidR="00664457" w:rsidRDefault="00664457" w:rsidP="00664457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)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),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),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quận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)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75460441" w14:textId="77777777" w:rsidR="00664457" w:rsidRDefault="00664457" w:rsidP="00664457">
      <w:pPr>
        <w:spacing w:before="120" w:after="100" w:afterAutospacing="1"/>
      </w:pPr>
      <w:bookmarkStart w:id="6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6"/>
      <w:proofErr w:type="spellEnd"/>
    </w:p>
    <w:p w14:paraId="1A1E2BAD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>.</w:t>
      </w:r>
    </w:p>
    <w:p w14:paraId="127E3B48" w14:textId="77777777" w:rsidR="00664457" w:rsidRDefault="00664457" w:rsidP="00664457">
      <w:pPr>
        <w:spacing w:before="120" w:after="100" w:afterAutospacing="1"/>
      </w:pPr>
      <w:r>
        <w:t xml:space="preserve">2.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>.</w:t>
      </w:r>
    </w:p>
    <w:p w14:paraId="0FB4EBD0" w14:textId="77777777" w:rsidR="00664457" w:rsidRDefault="00664457" w:rsidP="00664457">
      <w:pPr>
        <w:spacing w:before="120" w:after="100" w:afterAutospacing="1"/>
      </w:pPr>
      <w:r>
        <w:t xml:space="preserve">3.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>.</w:t>
      </w:r>
    </w:p>
    <w:p w14:paraId="2AC735F3" w14:textId="77777777" w:rsidR="00664457" w:rsidRDefault="00664457" w:rsidP="00664457">
      <w:pPr>
        <w:spacing w:before="120" w:after="100" w:afterAutospacing="1"/>
      </w:pPr>
      <w:r>
        <w:lastRenderedPageBreak/>
        <w:t xml:space="preserve">4.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>.</w:t>
      </w:r>
    </w:p>
    <w:p w14:paraId="376D6546" w14:textId="77777777" w:rsidR="00664457" w:rsidRDefault="00664457" w:rsidP="00664457">
      <w:pPr>
        <w:spacing w:before="120" w:after="100" w:afterAutospacing="1"/>
      </w:pPr>
      <w:bookmarkStart w:id="7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Nguyên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bookmarkEnd w:id="7"/>
      <w:proofErr w:type="spellEnd"/>
    </w:p>
    <w:p w14:paraId="7AD2F888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0A956BE6" w14:textId="77777777" w:rsidR="00664457" w:rsidRDefault="00664457" w:rsidP="00664457">
      <w:pPr>
        <w:spacing w:before="120" w:after="100" w:afterAutospacing="1"/>
      </w:pPr>
      <w:r>
        <w:t xml:space="preserve">2.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21591F03" w14:textId="77777777" w:rsidR="00664457" w:rsidRDefault="00664457" w:rsidP="00664457">
      <w:pPr>
        <w:spacing w:before="120" w:after="100" w:afterAutospacing="1"/>
      </w:pPr>
      <w:r>
        <w:t xml:space="preserve">3.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,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;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7307825D" w14:textId="77777777" w:rsidR="00664457" w:rsidRDefault="00664457" w:rsidP="00664457">
      <w:pPr>
        <w:spacing w:before="120" w:after="100" w:afterAutospacing="1"/>
      </w:pPr>
      <w:bookmarkStart w:id="8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Chi </w:t>
      </w:r>
      <w:proofErr w:type="spellStart"/>
      <w:r>
        <w:rPr>
          <w:b/>
          <w:bCs/>
        </w:rPr>
        <w:t>phí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bookmarkEnd w:id="8"/>
      <w:proofErr w:type="spellEnd"/>
    </w:p>
    <w:p w14:paraId="0221268B" w14:textId="77777777" w:rsidR="00664457" w:rsidRDefault="00664457" w:rsidP="00664457">
      <w:pPr>
        <w:spacing w:before="120" w:after="100" w:afterAutospacing="1"/>
      </w:pPr>
      <w:r>
        <w:t xml:space="preserve">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9" w:name="tvpllink_ccuezhabwt_1"/>
      <w:proofErr w:type="spellStart"/>
      <w:r>
        <w:t>Luật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bookmarkEnd w:id="9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4CD0669B" w14:textId="77777777" w:rsidR="00664457" w:rsidRDefault="00664457" w:rsidP="00664457">
      <w:pPr>
        <w:spacing w:before="120" w:after="100" w:afterAutospacing="1"/>
        <w:jc w:val="center"/>
      </w:pPr>
      <w:bookmarkStart w:id="10" w:name="chuong_2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2.</w:t>
      </w:r>
      <w:bookmarkEnd w:id="10"/>
    </w:p>
    <w:p w14:paraId="71FD266B" w14:textId="77777777" w:rsidR="00664457" w:rsidRDefault="00664457" w:rsidP="00664457">
      <w:pPr>
        <w:spacing w:before="120" w:after="100" w:afterAutospacing="1"/>
        <w:jc w:val="center"/>
      </w:pPr>
      <w:bookmarkStart w:id="11" w:name="chuong_2_name"/>
      <w:r>
        <w:rPr>
          <w:b/>
          <w:bCs/>
        </w:rPr>
        <w:t>QUY ĐỊNH CỤ THỂ</w:t>
      </w:r>
      <w:bookmarkEnd w:id="11"/>
    </w:p>
    <w:p w14:paraId="17B7CD1C" w14:textId="77777777" w:rsidR="00664457" w:rsidRDefault="00664457" w:rsidP="00664457">
      <w:pPr>
        <w:spacing w:before="120" w:after="100" w:afterAutospacing="1"/>
      </w:pPr>
      <w:bookmarkStart w:id="12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bookmarkEnd w:id="12"/>
      <w:proofErr w:type="spellEnd"/>
    </w:p>
    <w:p w14:paraId="014476EE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10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>.</w:t>
      </w:r>
    </w:p>
    <w:p w14:paraId="3A932E13" w14:textId="77777777" w:rsidR="00664457" w:rsidRDefault="00664457" w:rsidP="00664457">
      <w:pPr>
        <w:spacing w:before="120" w:after="100" w:afterAutospacing="1"/>
      </w:pPr>
      <w:r>
        <w:t xml:space="preserve">2.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3B5B6FC9" w14:textId="77777777" w:rsidR="00664457" w:rsidRDefault="00664457" w:rsidP="00664457">
      <w:pPr>
        <w:spacing w:before="120" w:after="100" w:afterAutospacing="1"/>
      </w:pPr>
      <w:r>
        <w:t xml:space="preserve">a)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3DDC5201" w14:textId="77777777" w:rsidR="00664457" w:rsidRDefault="00664457" w:rsidP="00664457">
      <w:pPr>
        <w:spacing w:before="120" w:after="100" w:afterAutospacing="1"/>
      </w:pPr>
      <w:r>
        <w:t xml:space="preserve">b)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4842BDFD" w14:textId="77777777" w:rsidR="00664457" w:rsidRDefault="00664457" w:rsidP="00664457">
      <w:pPr>
        <w:spacing w:before="120" w:after="100" w:afterAutospacing="1"/>
      </w:pPr>
      <w:r>
        <w:t xml:space="preserve">c)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437F73A5" w14:textId="77777777" w:rsidR="00664457" w:rsidRDefault="00664457" w:rsidP="00664457">
      <w:pPr>
        <w:spacing w:before="120" w:after="100" w:afterAutospacing="1"/>
      </w:pPr>
      <w:r>
        <w:t xml:space="preserve">d)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0B844787" w14:textId="77777777" w:rsidR="00664457" w:rsidRDefault="00664457" w:rsidP="00664457">
      <w:pPr>
        <w:spacing w:before="120" w:after="100" w:afterAutospacing="1"/>
      </w:pPr>
      <w:r>
        <w:t xml:space="preserve">đ)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6CB8BD90" w14:textId="77777777" w:rsidR="00664457" w:rsidRDefault="00664457" w:rsidP="00664457">
      <w:pPr>
        <w:spacing w:before="120" w:after="100" w:afterAutospacing="1"/>
      </w:pPr>
      <w:r>
        <w:t xml:space="preserve">e)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>;</w:t>
      </w:r>
    </w:p>
    <w:p w14:paraId="064D2E02" w14:textId="77777777" w:rsidR="00664457" w:rsidRDefault="00664457" w:rsidP="00664457">
      <w:pPr>
        <w:spacing w:before="120" w:after="100" w:afterAutospacing="1"/>
      </w:pPr>
      <w:r>
        <w:lastRenderedPageBreak/>
        <w:t xml:space="preserve">g)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59EABD65" w14:textId="77777777" w:rsidR="00664457" w:rsidRDefault="00664457" w:rsidP="00664457">
      <w:pPr>
        <w:spacing w:before="120" w:after="100" w:afterAutospacing="1"/>
      </w:pPr>
      <w:r>
        <w:t xml:space="preserve">3.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03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>.</w:t>
      </w:r>
    </w:p>
    <w:p w14:paraId="1D70AE26" w14:textId="77777777" w:rsidR="00664457" w:rsidRDefault="00664457" w:rsidP="00664457">
      <w:pPr>
        <w:spacing w:before="120" w:after="100" w:afterAutospacing="1"/>
      </w:pPr>
      <w:r>
        <w:t xml:space="preserve">4.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(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3" w:name="dc_3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72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bookmarkEnd w:id="13"/>
      <w:proofErr w:type="spellEnd"/>
      <w:r>
        <w:t xml:space="preserve">)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.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4" w:name="dc_4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72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  <w:bookmarkEnd w:id="14"/>
    </w:p>
    <w:p w14:paraId="06D5B536" w14:textId="77777777" w:rsidR="00664457" w:rsidRDefault="00664457" w:rsidP="00664457">
      <w:pPr>
        <w:spacing w:before="120" w:after="100" w:afterAutospacing="1"/>
      </w:pPr>
      <w:r>
        <w:t xml:space="preserve">5.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quân</w:t>
      </w:r>
      <w:proofErr w:type="spellEnd"/>
      <w:r>
        <w:t>.</w:t>
      </w:r>
    </w:p>
    <w:p w14:paraId="4F957E15" w14:textId="77777777" w:rsidR="00664457" w:rsidRDefault="00664457" w:rsidP="00664457">
      <w:pPr>
        <w:spacing w:before="120" w:after="100" w:afterAutospacing="1"/>
      </w:pPr>
      <w:bookmarkStart w:id="15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bookmarkEnd w:id="15"/>
      <w:proofErr w:type="spellEnd"/>
    </w:p>
    <w:p w14:paraId="3512BE93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>.</w:t>
      </w:r>
    </w:p>
    <w:p w14:paraId="2B25EA2A" w14:textId="77777777" w:rsidR="00664457" w:rsidRDefault="00664457" w:rsidP="00664457">
      <w:pPr>
        <w:spacing w:before="120" w:after="100" w:afterAutospacing="1"/>
      </w:pPr>
      <w:r>
        <w:t xml:space="preserve">2.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68952226" w14:textId="77777777" w:rsidR="00664457" w:rsidRDefault="00664457" w:rsidP="00664457">
      <w:pPr>
        <w:spacing w:before="120" w:after="100" w:afterAutospacing="1"/>
      </w:pPr>
      <w:r>
        <w:t xml:space="preserve">a)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3C4C044A" w14:textId="77777777" w:rsidR="00664457" w:rsidRDefault="00664457" w:rsidP="00664457">
      <w:pPr>
        <w:spacing w:before="120" w:after="100" w:afterAutospacing="1"/>
      </w:pPr>
      <w:r>
        <w:t xml:space="preserve">b)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4B4D67B8" w14:textId="77777777" w:rsidR="00664457" w:rsidRDefault="00664457" w:rsidP="00664457">
      <w:pPr>
        <w:spacing w:before="120" w:after="100" w:afterAutospacing="1"/>
      </w:pPr>
      <w:r>
        <w:t xml:space="preserve">c)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;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sỹ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7390D9B4" w14:textId="77777777" w:rsidR="00664457" w:rsidRDefault="00664457" w:rsidP="00664457">
      <w:pPr>
        <w:spacing w:before="120" w:after="100" w:afterAutospacing="1"/>
      </w:pPr>
      <w:r>
        <w:t xml:space="preserve">d)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16FCC2C2" w14:textId="77777777" w:rsidR="00664457" w:rsidRDefault="00664457" w:rsidP="00664457">
      <w:pPr>
        <w:spacing w:before="120" w:after="100" w:afterAutospacing="1"/>
      </w:pPr>
      <w:r>
        <w:t xml:space="preserve">đ)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>.</w:t>
      </w:r>
    </w:p>
    <w:p w14:paraId="79C84365" w14:textId="77777777" w:rsidR="00664457" w:rsidRDefault="00664457" w:rsidP="00664457">
      <w:pPr>
        <w:spacing w:before="120" w:after="100" w:afterAutospacing="1"/>
      </w:pPr>
      <w:r>
        <w:t xml:space="preserve">3.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12CE7F5E" w14:textId="77777777" w:rsidR="00664457" w:rsidRDefault="00664457" w:rsidP="00664457">
      <w:pPr>
        <w:spacing w:before="120" w:after="100" w:afterAutospacing="1"/>
      </w:pPr>
      <w:r>
        <w:t xml:space="preserve">a)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16F8EE6D" w14:textId="77777777" w:rsidR="00664457" w:rsidRDefault="00664457" w:rsidP="00664457">
      <w:pPr>
        <w:spacing w:before="120" w:after="100" w:afterAutospacing="1"/>
      </w:pPr>
      <w:r>
        <w:t xml:space="preserve">b)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, </w:t>
      </w:r>
      <w:proofErr w:type="spellStart"/>
      <w:r>
        <w:t>nổ</w:t>
      </w:r>
      <w:proofErr w:type="spellEnd"/>
      <w:r>
        <w:t xml:space="preserve">,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,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lastRenderedPageBreak/>
        <w:t>chế</w:t>
      </w:r>
      <w:proofErr w:type="spellEnd"/>
      <w:r>
        <w:t xml:space="preserve">,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(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);</w:t>
      </w:r>
    </w:p>
    <w:p w14:paraId="66DF84B1" w14:textId="77777777" w:rsidR="00664457" w:rsidRDefault="00664457" w:rsidP="00664457">
      <w:pPr>
        <w:spacing w:before="120" w:after="100" w:afterAutospacing="1"/>
      </w:pPr>
      <w:r>
        <w:t xml:space="preserve">c)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;</w:t>
      </w:r>
    </w:p>
    <w:p w14:paraId="27F263E0" w14:textId="77777777" w:rsidR="00664457" w:rsidRDefault="00664457" w:rsidP="00664457">
      <w:pPr>
        <w:spacing w:before="120" w:after="100" w:afterAutospacing="1"/>
      </w:pPr>
      <w:r>
        <w:t xml:space="preserve">d)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;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>;</w:t>
      </w:r>
    </w:p>
    <w:p w14:paraId="18EE5F98" w14:textId="77777777" w:rsidR="00664457" w:rsidRDefault="00664457" w:rsidP="00664457">
      <w:pPr>
        <w:spacing w:before="120" w:after="100" w:afterAutospacing="1"/>
      </w:pPr>
      <w:r>
        <w:t xml:space="preserve">đ)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>.</w:t>
      </w:r>
    </w:p>
    <w:p w14:paraId="0BD60E2F" w14:textId="77777777" w:rsidR="00664457" w:rsidRDefault="00664457" w:rsidP="00664457">
      <w:pPr>
        <w:spacing w:before="120" w:after="100" w:afterAutospacing="1"/>
      </w:pP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2DEACAE3" w14:textId="77777777" w:rsidR="00664457" w:rsidRDefault="00664457" w:rsidP="00664457">
      <w:pPr>
        <w:spacing w:before="120" w:after="100" w:afterAutospacing="1"/>
      </w:pPr>
      <w:r>
        <w:t xml:space="preserve">4.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14:paraId="23762794" w14:textId="77777777" w:rsidR="00664457" w:rsidRDefault="00664457" w:rsidP="00664457">
      <w:pPr>
        <w:spacing w:before="120" w:after="100" w:afterAutospacing="1"/>
      </w:pPr>
      <w:bookmarkStart w:id="16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triển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bookmarkEnd w:id="16"/>
      <w:proofErr w:type="spellEnd"/>
    </w:p>
    <w:p w14:paraId="06D92CB0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01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54942032" w14:textId="77777777" w:rsidR="00664457" w:rsidRDefault="00664457" w:rsidP="00664457">
      <w:pPr>
        <w:spacing w:before="120" w:after="10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ra,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51A40A36" w14:textId="77777777" w:rsidR="00664457" w:rsidRDefault="00664457" w:rsidP="00664457">
      <w:pPr>
        <w:spacing w:before="120" w:after="100" w:afterAutospacing="1"/>
      </w:pPr>
      <w:bookmarkStart w:id="17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bookmarkEnd w:id="17"/>
      <w:proofErr w:type="spellEnd"/>
    </w:p>
    <w:p w14:paraId="1D28909D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;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38408617" w14:textId="77777777" w:rsidR="00664457" w:rsidRDefault="00664457" w:rsidP="00664457">
      <w:pPr>
        <w:spacing w:before="120" w:after="100" w:afterAutospacing="1"/>
      </w:pPr>
      <w:r>
        <w:t xml:space="preserve">2.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1E64FCE5" w14:textId="77777777" w:rsidR="00664457" w:rsidRDefault="00664457" w:rsidP="00664457">
      <w:pPr>
        <w:spacing w:before="120" w:after="100" w:afterAutospacing="1"/>
      </w:pPr>
      <w:bookmarkStart w:id="18" w:name="dieu_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giải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huống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bookmarkEnd w:id="18"/>
      <w:proofErr w:type="spellEnd"/>
    </w:p>
    <w:p w14:paraId="23469D2F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>.</w:t>
      </w:r>
    </w:p>
    <w:p w14:paraId="6708CC32" w14:textId="77777777" w:rsidR="00664457" w:rsidRDefault="00664457" w:rsidP="00664457">
      <w:pPr>
        <w:spacing w:before="120" w:after="100" w:afterAutospacing="1"/>
      </w:pPr>
      <w:r>
        <w:lastRenderedPageBreak/>
        <w:t xml:space="preserve">2. Khi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>.</w:t>
      </w:r>
    </w:p>
    <w:p w14:paraId="578E75E0" w14:textId="77777777" w:rsidR="00664457" w:rsidRDefault="00664457" w:rsidP="00664457">
      <w:pPr>
        <w:spacing w:before="120" w:after="100" w:afterAutospacing="1"/>
      </w:pPr>
      <w:proofErr w:type="spellStart"/>
      <w:r>
        <w:t>Nếu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0F4CF8CE" w14:textId="77777777" w:rsidR="00664457" w:rsidRDefault="00664457" w:rsidP="00664457">
      <w:pPr>
        <w:spacing w:before="120" w:after="100" w:afterAutospacing="1"/>
      </w:pPr>
      <w:r>
        <w:t xml:space="preserve">3.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>.</w:t>
      </w:r>
    </w:p>
    <w:p w14:paraId="16F1B5EE" w14:textId="77777777" w:rsidR="00664457" w:rsidRDefault="00664457" w:rsidP="00664457">
      <w:pPr>
        <w:spacing w:before="120" w:after="100" w:afterAutospacing="1"/>
      </w:pPr>
      <w:bookmarkStart w:id="19" w:name="dieu_1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10. </w:t>
      </w:r>
      <w:proofErr w:type="spellStart"/>
      <w:r>
        <w:rPr>
          <w:b/>
          <w:bCs/>
        </w:rPr>
        <w:t>Phối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Ủy</w:t>
      </w:r>
      <w:proofErr w:type="spellEnd"/>
      <w:r>
        <w:rPr>
          <w:b/>
          <w:bCs/>
        </w:rPr>
        <w:t xml:space="preserve"> ban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cưỡng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chế</w:t>
      </w:r>
      <w:bookmarkEnd w:id="19"/>
      <w:proofErr w:type="spellEnd"/>
    </w:p>
    <w:p w14:paraId="51DD1CB0" w14:textId="77777777" w:rsidR="00664457" w:rsidRDefault="00664457" w:rsidP="00664457">
      <w:pPr>
        <w:spacing w:before="120" w:after="100" w:afterAutospacing="1"/>
      </w:pP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xã</w:t>
      </w:r>
      <w:proofErr w:type="spellEnd"/>
      <w:r>
        <w:t xml:space="preserve">, Ban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2AA272BE" w14:textId="77777777" w:rsidR="00664457" w:rsidRDefault="00664457" w:rsidP="00664457">
      <w:pPr>
        <w:spacing w:before="120" w:after="100" w:afterAutospacing="1"/>
        <w:jc w:val="center"/>
      </w:pPr>
      <w:bookmarkStart w:id="20" w:name="chuong_3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3.</w:t>
      </w:r>
      <w:bookmarkEnd w:id="20"/>
    </w:p>
    <w:p w14:paraId="35189E98" w14:textId="77777777" w:rsidR="00664457" w:rsidRDefault="00664457" w:rsidP="00664457">
      <w:pPr>
        <w:spacing w:before="120" w:after="100" w:afterAutospacing="1"/>
        <w:jc w:val="center"/>
      </w:pPr>
      <w:bookmarkStart w:id="21" w:name="chuong_3_name"/>
      <w:r>
        <w:rPr>
          <w:b/>
          <w:bCs/>
        </w:rPr>
        <w:t>TỔ CHỨC THỰC HIỆN</w:t>
      </w:r>
      <w:bookmarkEnd w:id="21"/>
    </w:p>
    <w:p w14:paraId="0C88F035" w14:textId="77777777" w:rsidR="00664457" w:rsidRDefault="00664457" w:rsidP="00664457">
      <w:pPr>
        <w:spacing w:before="120" w:after="100" w:afterAutospacing="1"/>
      </w:pPr>
      <w:bookmarkStart w:id="22" w:name="dieu_1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11.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22"/>
      <w:proofErr w:type="spellEnd"/>
    </w:p>
    <w:p w14:paraId="7C73E390" w14:textId="77777777" w:rsidR="00664457" w:rsidRDefault="00664457" w:rsidP="00664457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20 </w:t>
      </w:r>
      <w:proofErr w:type="spellStart"/>
      <w:r>
        <w:t>tháng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2014.</w:t>
      </w:r>
    </w:p>
    <w:p w14:paraId="04EE0201" w14:textId="77777777" w:rsidR="00664457" w:rsidRDefault="00664457" w:rsidP="00664457">
      <w:pPr>
        <w:spacing w:before="120" w:after="100" w:afterAutospacing="1"/>
      </w:pPr>
      <w:bookmarkStart w:id="23" w:name="dieu_1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12.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23"/>
      <w:proofErr w:type="spellEnd"/>
    </w:p>
    <w:p w14:paraId="39CF890D" w14:textId="77777777" w:rsidR="00664457" w:rsidRDefault="00664457" w:rsidP="00664457">
      <w:pPr>
        <w:spacing w:before="120" w:after="100" w:afterAutospacing="1"/>
      </w:pPr>
      <w:r>
        <w:t xml:space="preserve">1.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;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9C98366" w14:textId="77777777" w:rsidR="00664457" w:rsidRDefault="00664457" w:rsidP="00664457">
      <w:pPr>
        <w:spacing w:before="120" w:after="100" w:afterAutospacing="1"/>
      </w:pPr>
      <w:r>
        <w:t xml:space="preserve">2.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>.</w:t>
      </w:r>
    </w:p>
    <w:p w14:paraId="72C2CB6D" w14:textId="77777777" w:rsidR="00664457" w:rsidRDefault="00664457" w:rsidP="00664457">
      <w:pPr>
        <w:spacing w:before="120" w:after="100" w:afterAutospacing="1"/>
      </w:pPr>
      <w:r>
        <w:t xml:space="preserve">3.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602F99A" w14:textId="77777777" w:rsidR="00664457" w:rsidRDefault="00664457" w:rsidP="00664457">
      <w:pPr>
        <w:spacing w:before="120" w:after="100" w:afterAutospacing="1"/>
      </w:pPr>
      <w:r>
        <w:lastRenderedPageBreak/>
        <w:t xml:space="preserve">4.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(qua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an (qua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>./.</w:t>
      </w:r>
    </w:p>
    <w:p w14:paraId="2B2E5D17" w14:textId="77777777" w:rsidR="00664457" w:rsidRDefault="00664457" w:rsidP="00664457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416"/>
      </w:tblGrid>
      <w:tr w:rsidR="00664457" w14:paraId="4845621E" w14:textId="77777777" w:rsidTr="00664457"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1486" w14:textId="77777777" w:rsidR="00664457" w:rsidRDefault="00664457">
            <w:pPr>
              <w:spacing w:before="120"/>
              <w:jc w:val="center"/>
            </w:pPr>
            <w:r>
              <w:rPr>
                <w:b/>
                <w:bCs/>
              </w:rPr>
              <w:t>KT. BỘ TRƯỞNG BỘ CÔNG AN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Thượng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tướng</w:t>
            </w:r>
            <w:proofErr w:type="spellEnd"/>
            <w:r>
              <w:rPr>
                <w:b/>
                <w:bCs/>
              </w:rPr>
              <w:t xml:space="preserve"> Lê </w:t>
            </w:r>
            <w:proofErr w:type="spellStart"/>
            <w:r>
              <w:rPr>
                <w:b/>
                <w:bCs/>
              </w:rPr>
              <w:t>Quý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Vương</w:t>
            </w:r>
            <w:proofErr w:type="spellEnd"/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1200" w14:textId="77777777" w:rsidR="00664457" w:rsidRDefault="00664457">
            <w:pPr>
              <w:spacing w:before="120"/>
              <w:jc w:val="center"/>
            </w:pPr>
            <w:r>
              <w:rPr>
                <w:b/>
                <w:bCs/>
              </w:rPr>
              <w:t>KT. BỘ TRƯỞNG BỘ QUỐC PHÒNG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Thượng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tướng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Nguyễn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Cung</w:t>
            </w:r>
            <w:proofErr w:type="spellEnd"/>
          </w:p>
        </w:tc>
      </w:tr>
      <w:tr w:rsidR="00664457" w14:paraId="0212F8BE" w14:textId="77777777" w:rsidTr="00664457"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E3C1" w14:textId="77777777" w:rsidR="00664457" w:rsidRDefault="00664457">
            <w:pPr>
              <w:spacing w:before="120" w:after="100" w:afterAutospacing="1"/>
            </w:pPr>
            <w:r>
              <w:rPr>
                <w:b/>
                <w:bCs/>
                <w:i/>
                <w:iCs/>
                <w:sz w:val="16"/>
              </w:rPr>
              <w:t> </w:t>
            </w:r>
          </w:p>
          <w:p w14:paraId="171B2833" w14:textId="77777777" w:rsidR="00664457" w:rsidRDefault="00664457">
            <w:pPr>
              <w:spacing w:before="120"/>
            </w:pP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TP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TƯ;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mưu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khu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Hải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, BTL,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BCA;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chế</w:t>
            </w:r>
            <w:proofErr w:type="spellEnd"/>
            <w:r>
              <w:rPr>
                <w:sz w:val="16"/>
              </w:rPr>
              <w:t xml:space="preserve">/BQP,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chế</w:t>
            </w:r>
            <w:proofErr w:type="spellEnd"/>
            <w:r>
              <w:rPr>
                <w:sz w:val="16"/>
              </w:rPr>
              <w:t>/BCA;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>- TAQSTW, VKSQSTW;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/BQP;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VIII/BCA;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an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TP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TƯ;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khu</w:t>
            </w:r>
            <w:proofErr w:type="spellEnd"/>
            <w:r>
              <w:rPr>
                <w:sz w:val="16"/>
              </w:rPr>
              <w:t>, QCHQ, BTTM;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bản</w:t>
            </w:r>
            <w:proofErr w:type="spellEnd"/>
            <w:r>
              <w:rPr>
                <w:sz w:val="16"/>
              </w:rPr>
              <w:t>/BTP;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an.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F224" w14:textId="77777777" w:rsidR="00664457" w:rsidRDefault="00664457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14:paraId="2CDD4433" w14:textId="77777777" w:rsidR="00664457" w:rsidRDefault="00664457" w:rsidP="00664457">
      <w:pPr>
        <w:spacing w:before="120" w:after="100" w:afterAutospacing="1"/>
      </w:pPr>
      <w:r>
        <w:rPr>
          <w:b/>
          <w:bCs/>
        </w:rPr>
        <w:t> </w:t>
      </w:r>
    </w:p>
    <w:p w14:paraId="3F8E34B1" w14:textId="77777777" w:rsidR="00664457" w:rsidRDefault="00664457" w:rsidP="00664457">
      <w:pPr>
        <w:spacing w:after="100" w:afterAutospacing="1"/>
      </w:pPr>
      <w:r>
        <w:t> </w:t>
      </w:r>
    </w:p>
    <w:p w14:paraId="6388966D" w14:textId="06445276" w:rsidR="000A3989" w:rsidRPr="00664457" w:rsidRDefault="000A3989" w:rsidP="00664457"/>
    <w:sectPr w:rsidR="000A3989" w:rsidRPr="006644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879D" w14:textId="77777777" w:rsidR="00163AD8" w:rsidRDefault="00163AD8" w:rsidP="003F5188">
      <w:r>
        <w:separator/>
      </w:r>
    </w:p>
  </w:endnote>
  <w:endnote w:type="continuationSeparator" w:id="0">
    <w:p w14:paraId="7BA59604" w14:textId="77777777" w:rsidR="00163AD8" w:rsidRDefault="00163AD8" w:rsidP="003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FA51" w14:textId="74E09F21" w:rsidR="003F5188" w:rsidRDefault="003F5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F92D1" w14:textId="77777777" w:rsidR="003F5188" w:rsidRDefault="003F5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BBE0" w14:textId="77777777" w:rsidR="00163AD8" w:rsidRDefault="00163AD8" w:rsidP="003F5188">
      <w:r>
        <w:separator/>
      </w:r>
    </w:p>
  </w:footnote>
  <w:footnote w:type="continuationSeparator" w:id="0">
    <w:p w14:paraId="5672C9DF" w14:textId="77777777" w:rsidR="00163AD8" w:rsidRDefault="00163AD8" w:rsidP="003F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3777B"/>
    <w:rsid w:val="000A3989"/>
    <w:rsid w:val="0010464E"/>
    <w:rsid w:val="00134AFC"/>
    <w:rsid w:val="00163AD8"/>
    <w:rsid w:val="002D2C9B"/>
    <w:rsid w:val="002E4CF4"/>
    <w:rsid w:val="0030632A"/>
    <w:rsid w:val="003F5188"/>
    <w:rsid w:val="005158CE"/>
    <w:rsid w:val="00664457"/>
    <w:rsid w:val="00697B0B"/>
    <w:rsid w:val="008158E9"/>
    <w:rsid w:val="008276A5"/>
    <w:rsid w:val="00876432"/>
    <w:rsid w:val="008A5C63"/>
    <w:rsid w:val="00A33395"/>
    <w:rsid w:val="00A852DB"/>
    <w:rsid w:val="00B22621"/>
    <w:rsid w:val="00C6169D"/>
    <w:rsid w:val="00CC5B79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E8DF-CABB-4E4F-832D-BFE1A0F2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1715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2025-04-22T11:39:00Z</dcterms:created>
  <dcterms:modified xsi:type="dcterms:W3CDTF">2025-05-18T08:15:00Z</dcterms:modified>
</cp:coreProperties>
</file>