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400"/>
      </w:tblGrid>
      <w:tr w:rsidR="00197FF3" w14:paraId="5ACADD3F" w14:textId="77777777" w:rsidTr="00197FF3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9933" w14:textId="77777777" w:rsidR="00197FF3" w:rsidRDefault="00197FF3">
            <w:pPr>
              <w:spacing w:before="120"/>
              <w:jc w:val="center"/>
            </w:pPr>
            <w:r>
              <w:rPr>
                <w:b/>
                <w:bCs/>
              </w:rPr>
              <w:t xml:space="preserve">BỘ QUỐC PHÒNG - </w:t>
            </w:r>
            <w:r>
              <w:rPr>
                <w:b/>
                <w:bCs/>
              </w:rPr>
              <w:br/>
              <w:t>BỘ TƯ PHÁP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878" w14:textId="77777777" w:rsidR="00197FF3" w:rsidRDefault="00197FF3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–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</w:t>
            </w:r>
          </w:p>
        </w:tc>
      </w:tr>
      <w:tr w:rsidR="00197FF3" w14:paraId="43BBEAF8" w14:textId="77777777" w:rsidTr="00197FF3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A8EE" w14:textId="77777777" w:rsidR="00197FF3" w:rsidRDefault="00197FF3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: 141/2010/TTLT/BQP-BTP  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93A5" w14:textId="77777777" w:rsidR="00197FF3" w:rsidRDefault="00197FF3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19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10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2010 </w:t>
            </w:r>
          </w:p>
        </w:tc>
      </w:tr>
    </w:tbl>
    <w:p w14:paraId="1B32179E" w14:textId="77777777" w:rsidR="00197FF3" w:rsidRDefault="00197FF3" w:rsidP="00197FF3">
      <w:pPr>
        <w:spacing w:before="120" w:after="100" w:afterAutospacing="1"/>
      </w:pPr>
      <w:r>
        <w:t> </w:t>
      </w:r>
    </w:p>
    <w:p w14:paraId="6BC0D4F9" w14:textId="77777777" w:rsidR="00197FF3" w:rsidRDefault="00197FF3" w:rsidP="00197FF3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THÔNG TƯ LIÊN TỊCH</w:t>
      </w:r>
      <w:bookmarkEnd w:id="0"/>
    </w:p>
    <w:p w14:paraId="5FB746B9" w14:textId="77777777" w:rsidR="00197FF3" w:rsidRDefault="00197FF3" w:rsidP="00197FF3">
      <w:pPr>
        <w:spacing w:before="120" w:after="100" w:afterAutospacing="1"/>
        <w:jc w:val="center"/>
      </w:pPr>
      <w:bookmarkStart w:id="1" w:name="loai_1_name"/>
      <w:r>
        <w:t>HƯỚNG DẪN VIỆC PHỐI HỢP THỰC HIỆN QUẢN LÝ NHÀ NƯỚC VỀ THI HÀNH ÁN DÂN SỰ TRONG QUÂN ĐỘI</w:t>
      </w:r>
      <w:bookmarkEnd w:id="1"/>
      <w:r>
        <w:t xml:space="preserve"> </w:t>
      </w:r>
    </w:p>
    <w:p w14:paraId="15210133" w14:textId="77777777" w:rsidR="00197FF3" w:rsidRDefault="00197FF3" w:rsidP="00197FF3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vlsnkepvne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bookmarkEnd w:id="2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03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2008;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3" w:name="tvpllink_ccuezhabwt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bookmarkEnd w:id="3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2008; 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4" w:name="tvpllink_sthmjmbzkd"/>
      <w:r>
        <w:rPr>
          <w:i/>
          <w:iCs/>
        </w:rPr>
        <w:t>74/2009/NĐ-CP</w:t>
      </w:r>
      <w:bookmarkEnd w:id="4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2009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chi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bookmarkStart w:id="5" w:name="tvpllink_ccuezhabwt_1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bookmarkEnd w:id="5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, </w:t>
      </w:r>
      <w:r>
        <w:rPr>
          <w:i/>
          <w:iCs/>
        </w:rPr>
        <w:br/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nhất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sau</w:t>
      </w:r>
      <w:proofErr w:type="spellEnd"/>
      <w:r>
        <w:rPr>
          <w:i/>
          <w:iCs/>
        </w:rPr>
        <w:t xml:space="preserve">: </w:t>
      </w:r>
    </w:p>
    <w:p w14:paraId="2E37BAC6" w14:textId="77777777" w:rsidR="00197FF3" w:rsidRDefault="00197FF3" w:rsidP="00197FF3">
      <w:pPr>
        <w:spacing w:before="120" w:after="100" w:afterAutospacing="1"/>
        <w:jc w:val="both"/>
      </w:pPr>
      <w:bookmarkStart w:id="6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6"/>
      <w:proofErr w:type="spellEnd"/>
      <w:r>
        <w:rPr>
          <w:b/>
          <w:bCs/>
        </w:rPr>
        <w:t xml:space="preserve"> </w:t>
      </w:r>
    </w:p>
    <w:p w14:paraId="2B050F14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. </w:t>
      </w:r>
    </w:p>
    <w:p w14:paraId="7C20413D" w14:textId="77777777" w:rsidR="00197FF3" w:rsidRDefault="00197FF3" w:rsidP="00197FF3">
      <w:pPr>
        <w:spacing w:before="120" w:after="100" w:afterAutospacing="1"/>
        <w:jc w:val="both"/>
      </w:pPr>
      <w:bookmarkStart w:id="7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phòng</w:t>
      </w:r>
      <w:bookmarkEnd w:id="7"/>
      <w:proofErr w:type="spellEnd"/>
      <w:r>
        <w:rPr>
          <w:b/>
          <w:bCs/>
        </w:rPr>
        <w:t xml:space="preserve"> </w:t>
      </w:r>
    </w:p>
    <w:p w14:paraId="7C73AC3B" w14:textId="77777777" w:rsidR="00197FF3" w:rsidRDefault="00197FF3" w:rsidP="00197FF3">
      <w:pPr>
        <w:spacing w:before="120" w:after="100" w:afterAutospacing="1"/>
        <w:jc w:val="both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</w:p>
    <w:p w14:paraId="7CA34300" w14:textId="77777777" w:rsidR="00197FF3" w:rsidRDefault="00197FF3" w:rsidP="00197FF3">
      <w:pPr>
        <w:spacing w:before="120" w:after="100" w:afterAutospacing="1"/>
        <w:jc w:val="both"/>
      </w:pPr>
      <w:bookmarkStart w:id="8" w:name="khoan_2_2"/>
      <w:r>
        <w:t xml:space="preserve">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.</w:t>
      </w:r>
      <w:bookmarkEnd w:id="8"/>
      <w:r>
        <w:t xml:space="preserve"> </w:t>
      </w:r>
    </w:p>
    <w:p w14:paraId="1E4E42AD" w14:textId="77777777" w:rsidR="00197FF3" w:rsidRDefault="00197FF3" w:rsidP="00197FF3">
      <w:pPr>
        <w:spacing w:before="120" w:after="100" w:afterAutospacing="1"/>
        <w:jc w:val="both"/>
      </w:pPr>
      <w:r>
        <w:t xml:space="preserve">3.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</w:t>
      </w:r>
    </w:p>
    <w:p w14:paraId="3B609B13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;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</w:p>
    <w:p w14:paraId="0429F289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;</w:t>
      </w:r>
    </w:p>
    <w:p w14:paraId="584A21F3" w14:textId="77777777" w:rsidR="00197FF3" w:rsidRDefault="00197FF3" w:rsidP="00197FF3">
      <w:pPr>
        <w:spacing w:before="120" w:after="100" w:afterAutospacing="1"/>
        <w:jc w:val="both"/>
      </w:pPr>
      <w:r>
        <w:lastRenderedPageBreak/>
        <w:t xml:space="preserve">c)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</w:p>
    <w:p w14:paraId="2F053940" w14:textId="77777777" w:rsidR="00197FF3" w:rsidRDefault="00197FF3" w:rsidP="00197FF3">
      <w:pPr>
        <w:spacing w:before="120" w:after="100" w:afterAutospacing="1"/>
        <w:jc w:val="both"/>
      </w:pPr>
      <w:r>
        <w:t xml:space="preserve">d)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</w:p>
    <w:p w14:paraId="76721B26" w14:textId="77777777" w:rsidR="00197FF3" w:rsidRDefault="00197FF3" w:rsidP="00197FF3">
      <w:pPr>
        <w:spacing w:before="120" w:after="100" w:afterAutospacing="1"/>
        <w:jc w:val="both"/>
      </w:pPr>
      <w:r>
        <w:t xml:space="preserve">4.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ra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 xml:space="preserve">: </w:t>
      </w:r>
    </w:p>
    <w:p w14:paraId="128864E9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>;</w:t>
      </w:r>
    </w:p>
    <w:p w14:paraId="15940BE6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</w:p>
    <w:p w14:paraId="6B993471" w14:textId="77777777" w:rsidR="00197FF3" w:rsidRDefault="00197FF3" w:rsidP="00197FF3">
      <w:pPr>
        <w:spacing w:before="120" w:after="100" w:afterAutospacing="1"/>
        <w:jc w:val="both"/>
      </w:pPr>
      <w:r>
        <w:t xml:space="preserve">c)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>;</w:t>
      </w:r>
    </w:p>
    <w:p w14:paraId="6F7DD499" w14:textId="77777777" w:rsidR="00197FF3" w:rsidRDefault="00197FF3" w:rsidP="00197FF3">
      <w:pPr>
        <w:spacing w:before="120" w:after="100" w:afterAutospacing="1"/>
        <w:jc w:val="both"/>
      </w:pPr>
      <w:r>
        <w:t xml:space="preserve">d)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</w:p>
    <w:p w14:paraId="4951F408" w14:textId="77777777" w:rsidR="00197FF3" w:rsidRDefault="00197FF3" w:rsidP="00197FF3">
      <w:pPr>
        <w:spacing w:before="120" w:after="100" w:afterAutospacing="1"/>
        <w:jc w:val="both"/>
      </w:pPr>
      <w:r>
        <w:t xml:space="preserve">đ)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</w:p>
    <w:p w14:paraId="680BB9E2" w14:textId="77777777" w:rsidR="00197FF3" w:rsidRDefault="00197FF3" w:rsidP="00197FF3">
      <w:pPr>
        <w:spacing w:before="120" w:after="100" w:afterAutospacing="1"/>
        <w:jc w:val="both"/>
      </w:pPr>
      <w:r>
        <w:t xml:space="preserve">e)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sang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</w:p>
    <w:p w14:paraId="24E71148" w14:textId="77777777" w:rsidR="00197FF3" w:rsidRDefault="00197FF3" w:rsidP="00197FF3">
      <w:pPr>
        <w:spacing w:before="120" w:after="100" w:afterAutospacing="1"/>
        <w:jc w:val="both"/>
      </w:pPr>
      <w:bookmarkStart w:id="9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bookmarkEnd w:id="9"/>
      <w:proofErr w:type="spellEnd"/>
      <w:r>
        <w:rPr>
          <w:b/>
          <w:bCs/>
        </w:rPr>
        <w:t xml:space="preserve"> </w:t>
      </w:r>
    </w:p>
    <w:p w14:paraId="4F8ECC80" w14:textId="77777777" w:rsidR="00197FF3" w:rsidRDefault="00197FF3" w:rsidP="00197FF3">
      <w:pPr>
        <w:spacing w:before="120" w:after="100" w:afterAutospacing="1"/>
        <w:jc w:val="both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0" w:name="tc_1"/>
      <w:proofErr w:type="spellStart"/>
      <w:r>
        <w:t>Điều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0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</w:p>
    <w:p w14:paraId="34482012" w14:textId="77777777" w:rsidR="00197FF3" w:rsidRDefault="00197FF3" w:rsidP="00197FF3">
      <w:pPr>
        <w:spacing w:before="120" w:after="100" w:afterAutospacing="1"/>
        <w:jc w:val="both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14:paraId="4E0316A6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</w:p>
    <w:p w14:paraId="6788BC6A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</w:p>
    <w:p w14:paraId="03B10DBF" w14:textId="77777777" w:rsidR="00197FF3" w:rsidRDefault="00197FF3" w:rsidP="00197FF3">
      <w:pPr>
        <w:spacing w:before="120" w:after="100" w:afterAutospacing="1"/>
        <w:jc w:val="both"/>
      </w:pPr>
      <w:r>
        <w:t xml:space="preserve">c)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</w:p>
    <w:p w14:paraId="3A6906B1" w14:textId="77777777" w:rsidR="00197FF3" w:rsidRDefault="00197FF3" w:rsidP="00197FF3">
      <w:pPr>
        <w:spacing w:before="120" w:after="100" w:afterAutospacing="1"/>
        <w:jc w:val="both"/>
      </w:pPr>
      <w:r>
        <w:t xml:space="preserve">d)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</w:p>
    <w:p w14:paraId="6A3297E1" w14:textId="77777777" w:rsidR="00197FF3" w:rsidRDefault="00197FF3" w:rsidP="00197FF3">
      <w:pPr>
        <w:spacing w:before="120" w:after="100" w:afterAutospacing="1"/>
        <w:jc w:val="both"/>
      </w:pPr>
      <w:bookmarkStart w:id="11" w:name="dieu_4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phòng</w:t>
      </w:r>
      <w:bookmarkEnd w:id="11"/>
      <w:proofErr w:type="spellEnd"/>
      <w:r>
        <w:rPr>
          <w:b/>
          <w:bCs/>
        </w:rPr>
        <w:t xml:space="preserve"> </w:t>
      </w:r>
    </w:p>
    <w:p w14:paraId="31F97BF0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: </w:t>
      </w:r>
    </w:p>
    <w:p w14:paraId="4B1480ED" w14:textId="77777777" w:rsidR="00197FF3" w:rsidRDefault="00197FF3" w:rsidP="00197FF3">
      <w:pPr>
        <w:spacing w:before="120" w:after="100" w:afterAutospacing="1"/>
        <w:jc w:val="both"/>
      </w:pPr>
      <w:r>
        <w:t xml:space="preserve">1.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2" w:name="tc_2"/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2"/>
      <w:proofErr w:type="spellEnd"/>
      <w:r>
        <w:t xml:space="preserve">. </w:t>
      </w:r>
    </w:p>
    <w:p w14:paraId="6CA2DCA9" w14:textId="77777777" w:rsidR="00197FF3" w:rsidRDefault="00197FF3" w:rsidP="00197FF3">
      <w:pPr>
        <w:spacing w:before="120" w:after="100" w:afterAutospacing="1"/>
        <w:jc w:val="both"/>
      </w:pPr>
      <w:r>
        <w:t xml:space="preserve">2.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: </w:t>
      </w:r>
    </w:p>
    <w:p w14:paraId="3EF8340F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</w:p>
    <w:p w14:paraId="52F1F63F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</w:p>
    <w:p w14:paraId="27809DB7" w14:textId="77777777" w:rsidR="00197FF3" w:rsidRDefault="00197FF3" w:rsidP="00197FF3">
      <w:pPr>
        <w:spacing w:before="120" w:after="100" w:afterAutospacing="1"/>
        <w:jc w:val="both"/>
      </w:pPr>
      <w:r>
        <w:t xml:space="preserve">3.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:</w:t>
      </w:r>
    </w:p>
    <w:p w14:paraId="0C2F2C42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</w:p>
    <w:p w14:paraId="08C18AFD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(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); </w:t>
      </w:r>
    </w:p>
    <w:p w14:paraId="03FDC96E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;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(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63)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</w:p>
    <w:p w14:paraId="3A25394F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13" w:name="tvpllink_sthmjmbzkd_1"/>
      <w:r>
        <w:t>74/2009/NĐ-CP</w:t>
      </w:r>
      <w:bookmarkEnd w:id="13"/>
      <w:r>
        <w:t xml:space="preserve"> </w:t>
      </w:r>
      <w:proofErr w:type="spellStart"/>
      <w:r>
        <w:t>ngày</w:t>
      </w:r>
      <w:proofErr w:type="spellEnd"/>
      <w:r>
        <w:t xml:space="preserve"> 09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2009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;</w:t>
      </w:r>
    </w:p>
    <w:p w14:paraId="411455F4" w14:textId="77777777" w:rsidR="00197FF3" w:rsidRDefault="00197FF3" w:rsidP="00197FF3">
      <w:pPr>
        <w:spacing w:before="120" w:after="100" w:afterAutospacing="1"/>
        <w:jc w:val="both"/>
      </w:pPr>
      <w:r>
        <w:t xml:space="preserve">4.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</w:p>
    <w:p w14:paraId="44324BB4" w14:textId="77777777" w:rsidR="00197FF3" w:rsidRDefault="00197FF3" w:rsidP="00197FF3">
      <w:pPr>
        <w:spacing w:before="120" w:after="100" w:afterAutospacing="1"/>
        <w:jc w:val="both"/>
      </w:pPr>
      <w:r>
        <w:lastRenderedPageBreak/>
        <w:t xml:space="preserve">a)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(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63)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</w:p>
    <w:p w14:paraId="588F1EF7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–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; </w:t>
      </w:r>
    </w:p>
    <w:p w14:paraId="05A3DD20" w14:textId="77777777" w:rsidR="00197FF3" w:rsidRDefault="00197FF3" w:rsidP="00197FF3">
      <w:pPr>
        <w:spacing w:before="120" w:after="100" w:afterAutospacing="1"/>
        <w:jc w:val="both"/>
      </w:pPr>
      <w:r>
        <w:t xml:space="preserve">c)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duyệt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</w:p>
    <w:p w14:paraId="7A66BD9C" w14:textId="77777777" w:rsidR="00197FF3" w:rsidRDefault="00197FF3" w:rsidP="00197FF3">
      <w:pPr>
        <w:spacing w:before="120" w:after="100" w:afterAutospacing="1"/>
        <w:jc w:val="both"/>
      </w:pPr>
      <w:r>
        <w:t xml:space="preserve">5.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" w:name="dc_1"/>
      <w:proofErr w:type="spellStart"/>
      <w:r>
        <w:t>Điều</w:t>
      </w:r>
      <w:proofErr w:type="spellEnd"/>
      <w:r>
        <w:t xml:space="preserve"> 34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74/2009/NĐ-CP</w:t>
      </w:r>
      <w:bookmarkEnd w:id="14"/>
      <w:r>
        <w:t xml:space="preserve">. </w:t>
      </w:r>
    </w:p>
    <w:p w14:paraId="5284F139" w14:textId="77777777" w:rsidR="00197FF3" w:rsidRDefault="00197FF3" w:rsidP="00197FF3">
      <w:pPr>
        <w:spacing w:before="120" w:after="100" w:afterAutospacing="1"/>
        <w:jc w:val="both"/>
      </w:pPr>
      <w:r>
        <w:t xml:space="preserve">6.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5" w:name="tvpllink_okijvvynzr"/>
      <w:proofErr w:type="spellStart"/>
      <w:r>
        <w:t>Luật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bookmarkEnd w:id="15"/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</w:p>
    <w:p w14:paraId="5126F2BF" w14:textId="77777777" w:rsidR="00197FF3" w:rsidRDefault="00197FF3" w:rsidP="00197FF3">
      <w:pPr>
        <w:spacing w:before="120" w:after="100" w:afterAutospacing="1"/>
        <w:jc w:val="both"/>
      </w:pPr>
      <w:bookmarkStart w:id="16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bookmarkEnd w:id="16"/>
      <w:proofErr w:type="spellEnd"/>
      <w:r>
        <w:rPr>
          <w:b/>
          <w:bCs/>
        </w:rPr>
        <w:t xml:space="preserve"> </w:t>
      </w:r>
    </w:p>
    <w:p w14:paraId="5E3B5776" w14:textId="77777777" w:rsidR="00197FF3" w:rsidRDefault="00197FF3" w:rsidP="00197FF3">
      <w:pPr>
        <w:spacing w:before="120" w:after="100" w:afterAutospacing="1"/>
        <w:jc w:val="both"/>
      </w:pPr>
      <w:r>
        <w:t xml:space="preserve">1.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: </w:t>
      </w:r>
    </w:p>
    <w:p w14:paraId="25972E0C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" w:name="tc_3"/>
      <w:proofErr w:type="spellStart"/>
      <w:r>
        <w:t>Điều</w:t>
      </w:r>
      <w:proofErr w:type="spellEnd"/>
      <w:r>
        <w:t xml:space="preserve"> 3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7"/>
      <w:proofErr w:type="spellEnd"/>
      <w:r>
        <w:t xml:space="preserve">; </w:t>
      </w:r>
    </w:p>
    <w:p w14:paraId="33CE5694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. </w:t>
      </w:r>
    </w:p>
    <w:p w14:paraId="0DDC4BE7" w14:textId="77777777" w:rsidR="00197FF3" w:rsidRDefault="00197FF3" w:rsidP="00197FF3">
      <w:pPr>
        <w:spacing w:before="120" w:after="100" w:afterAutospacing="1"/>
        <w:jc w:val="both"/>
      </w:pPr>
      <w:r>
        <w:t xml:space="preserve">2.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: </w:t>
      </w:r>
    </w:p>
    <w:p w14:paraId="5758921E" w14:textId="77777777" w:rsidR="00197FF3" w:rsidRDefault="00197FF3" w:rsidP="00197FF3">
      <w:pPr>
        <w:spacing w:before="120" w:after="100" w:afterAutospacing="1"/>
        <w:jc w:val="both"/>
      </w:pPr>
      <w:r>
        <w:t xml:space="preserve">a)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</w:p>
    <w:p w14:paraId="7BEA6163" w14:textId="77777777" w:rsidR="00197FF3" w:rsidRDefault="00197FF3" w:rsidP="00197FF3">
      <w:pPr>
        <w:spacing w:before="120" w:after="100" w:afterAutospacing="1"/>
        <w:jc w:val="both"/>
      </w:pPr>
      <w:r>
        <w:t xml:space="preserve">b)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; </w:t>
      </w:r>
    </w:p>
    <w:p w14:paraId="69A700A8" w14:textId="77777777" w:rsidR="00197FF3" w:rsidRDefault="00197FF3" w:rsidP="00197FF3">
      <w:pPr>
        <w:spacing w:before="120" w:after="100" w:afterAutospacing="1"/>
        <w:jc w:val="both"/>
      </w:pPr>
      <w:r>
        <w:t xml:space="preserve">c)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</w:p>
    <w:p w14:paraId="46D12A3D" w14:textId="77777777" w:rsidR="00197FF3" w:rsidRDefault="00197FF3" w:rsidP="00197FF3">
      <w:pPr>
        <w:spacing w:before="120" w:after="100" w:afterAutospacing="1"/>
        <w:jc w:val="both"/>
      </w:pPr>
      <w:bookmarkStart w:id="18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18"/>
      <w:proofErr w:type="spellEnd"/>
      <w:r>
        <w:rPr>
          <w:b/>
          <w:bCs/>
        </w:rPr>
        <w:t xml:space="preserve"> </w:t>
      </w:r>
    </w:p>
    <w:p w14:paraId="614E2DA4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lastRenderedPageBreak/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45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19" w:name="tvpllink_cifwsceufe"/>
      <w:r>
        <w:t>14/2006/BQP-BTP</w:t>
      </w:r>
      <w:bookmarkEnd w:id="19"/>
      <w:r>
        <w:t xml:space="preserve"> </w:t>
      </w:r>
      <w:proofErr w:type="spellStart"/>
      <w:r>
        <w:t>ngày</w:t>
      </w:r>
      <w:proofErr w:type="spellEnd"/>
      <w:r>
        <w:t xml:space="preserve"> 16/01/2006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–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. </w:t>
      </w:r>
    </w:p>
    <w:p w14:paraId="0F39D15C" w14:textId="77777777" w:rsidR="00197FF3" w:rsidRDefault="00197FF3" w:rsidP="00197FF3">
      <w:pPr>
        <w:spacing w:before="120" w:after="100" w:afterAutospacing="1"/>
        <w:jc w:val="both"/>
      </w:pPr>
      <w:bookmarkStart w:id="20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20"/>
      <w:proofErr w:type="spellEnd"/>
      <w:r>
        <w:rPr>
          <w:b/>
          <w:bCs/>
        </w:rPr>
        <w:t xml:space="preserve"> </w:t>
      </w:r>
    </w:p>
    <w:p w14:paraId="382175AA" w14:textId="77777777" w:rsidR="00197FF3" w:rsidRDefault="00197FF3" w:rsidP="00197FF3">
      <w:pPr>
        <w:spacing w:before="120" w:after="100" w:afterAutospacing="1"/>
        <w:jc w:val="both"/>
      </w:pP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./.</w:t>
      </w:r>
    </w:p>
    <w:p w14:paraId="76ABB9EB" w14:textId="77777777" w:rsidR="00197FF3" w:rsidRDefault="00197FF3" w:rsidP="00197FF3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97FF3" w14:paraId="35A12225" w14:textId="77777777" w:rsidTr="00197FF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714B" w14:textId="77777777" w:rsidR="00197FF3" w:rsidRDefault="00197FF3">
            <w:pPr>
              <w:spacing w:before="120"/>
              <w:jc w:val="center"/>
            </w:pPr>
            <w:r>
              <w:rPr>
                <w:b/>
                <w:bCs/>
              </w:rPr>
              <w:t xml:space="preserve">BỘ TRƯỞNG BỘ TƯ PHÁP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Hà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Hùng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2D14" w14:textId="77777777" w:rsidR="00197FF3" w:rsidRDefault="00197FF3">
            <w:pPr>
              <w:spacing w:before="120"/>
              <w:jc w:val="center"/>
            </w:pPr>
            <w:r>
              <w:rPr>
                <w:b/>
                <w:bCs/>
              </w:rPr>
              <w:t xml:space="preserve">BỘ TRƯỞNG, BỘ QUỐC PHÒNG </w:t>
            </w:r>
            <w:r>
              <w:rPr>
                <w:b/>
                <w:bCs/>
              </w:rPr>
              <w:br/>
              <w:t xml:space="preserve">ĐẠI TƯỚNG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Phùng</w:t>
            </w:r>
            <w:proofErr w:type="spellEnd"/>
            <w:r>
              <w:rPr>
                <w:b/>
                <w:bCs/>
              </w:rPr>
              <w:t xml:space="preserve"> Quang Thanh</w:t>
            </w:r>
          </w:p>
        </w:tc>
      </w:tr>
      <w:tr w:rsidR="00197FF3" w14:paraId="233A92F1" w14:textId="77777777" w:rsidTr="00197FF3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C308" w14:textId="77777777" w:rsidR="00197FF3" w:rsidRDefault="00197FF3">
            <w:pPr>
              <w:spacing w:before="120" w:after="100" w:afterAutospacing="1"/>
            </w:pPr>
            <w:r>
              <w:rPr>
                <w:b/>
                <w:bCs/>
                <w:i/>
                <w:iCs/>
              </w:rPr>
              <w:t> </w:t>
            </w:r>
          </w:p>
          <w:p w14:paraId="1BF1B85D" w14:textId="77777777" w:rsidR="00197FF3" w:rsidRDefault="00197FF3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Toà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 xml:space="preserve"> BQP Phan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Kiên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quản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chỉ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đạo</w:t>
            </w:r>
            <w:proofErr w:type="spellEnd"/>
            <w:r>
              <w:rPr>
                <w:sz w:val="16"/>
              </w:rPr>
              <w:t xml:space="preserve">); 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mưu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khu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Hải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; 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, Website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VPBQP, VPBTP,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THA/BQP,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THADS/BTP. </w:t>
            </w:r>
          </w:p>
        </w:tc>
      </w:tr>
    </w:tbl>
    <w:p w14:paraId="1923EDA6" w14:textId="77777777" w:rsidR="00197FF3" w:rsidRDefault="00197FF3" w:rsidP="00197FF3">
      <w:r>
        <w:t xml:space="preserve">  </w:t>
      </w:r>
    </w:p>
    <w:p w14:paraId="1260BD15" w14:textId="77777777" w:rsidR="00197FF3" w:rsidRDefault="00197FF3" w:rsidP="00197FF3">
      <w:pPr>
        <w:spacing w:after="100" w:afterAutospacing="1"/>
      </w:pPr>
      <w:r>
        <w:t> </w:t>
      </w:r>
    </w:p>
    <w:p w14:paraId="6388966D" w14:textId="06445276" w:rsidR="000A3989" w:rsidRPr="00197FF3" w:rsidRDefault="000A3989" w:rsidP="00197FF3"/>
    <w:sectPr w:rsidR="000A3989" w:rsidRPr="00197F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C020" w14:textId="77777777" w:rsidR="00FF53F1" w:rsidRDefault="00FF53F1" w:rsidP="003F5188">
      <w:r>
        <w:separator/>
      </w:r>
    </w:p>
  </w:endnote>
  <w:endnote w:type="continuationSeparator" w:id="0">
    <w:p w14:paraId="3A691153" w14:textId="77777777" w:rsidR="00FF53F1" w:rsidRDefault="00FF53F1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83A3" w14:textId="77777777" w:rsidR="00FF53F1" w:rsidRDefault="00FF53F1" w:rsidP="003F5188">
      <w:r>
        <w:separator/>
      </w:r>
    </w:p>
  </w:footnote>
  <w:footnote w:type="continuationSeparator" w:id="0">
    <w:p w14:paraId="1E95F950" w14:textId="77777777" w:rsidR="00FF53F1" w:rsidRDefault="00FF53F1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3777B"/>
    <w:rsid w:val="000A3989"/>
    <w:rsid w:val="0010464E"/>
    <w:rsid w:val="00134AFC"/>
    <w:rsid w:val="00163AD8"/>
    <w:rsid w:val="00197FF3"/>
    <w:rsid w:val="002D2C9B"/>
    <w:rsid w:val="002E4CF4"/>
    <w:rsid w:val="0030632A"/>
    <w:rsid w:val="003F5188"/>
    <w:rsid w:val="005158CE"/>
    <w:rsid w:val="00664457"/>
    <w:rsid w:val="00697B0B"/>
    <w:rsid w:val="008158E9"/>
    <w:rsid w:val="008276A5"/>
    <w:rsid w:val="00876432"/>
    <w:rsid w:val="008A5C63"/>
    <w:rsid w:val="00A33395"/>
    <w:rsid w:val="00A852DB"/>
    <w:rsid w:val="00B22621"/>
    <w:rsid w:val="00C6169D"/>
    <w:rsid w:val="00CC5B79"/>
    <w:rsid w:val="00FB5C8B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2025-04-22T11:39:00Z</dcterms:created>
  <dcterms:modified xsi:type="dcterms:W3CDTF">2025-05-18T08:22:00Z</dcterms:modified>
</cp:coreProperties>
</file>