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391" o:spid="_x0000_i2392" type="#_x0000_t75" style="height:225pt;width:231.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 -</w:t>
            </w:r>
            <w:r>
              <w:rPr>
                <w:b/>
              </w:rPr>
              <w:br/>
            </w:r>
            <w:r>
              <w:rPr>
                <w:b/>
              </w:rPr>
              <w:t xml:space="preserve">BỘ TƯ PHÁP</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8" w:history="1">
              <w:r>
                <w:rPr>
                  <w:rStyle w:val="Hyperlink"/>
                </w:rPr>
                <w:t xml:space="preserve">62/2013/TTLT-BTC-BTP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13 tháng 5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mức thu, chế độ thu, nộp, quản lý và sử dụng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chứng thực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số 13/2003/QH10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Nhà ở số </w:t>
      </w:r>
      <w:hyperlink r:id="rId9" w:history="1">
        <w:r>
          <w:rPr>
            <w:rStyle w:val="Hyperlink"/>
            <w:i/>
          </w:rPr>
          <w:t xml:space="preserve">56/2005/QH11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số 38/2001/PL-UBTVQH10 ngày 28/8/2001;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57/2002/NĐ-CP </w:t>
        </w:r>
        <w:r>
          <w:rPr>
            <w:i/>
          </w:rPr>
          <w:t xml:space="preserve"> ngày 03/6/2002 và Nghị định số 24/2006/NĐ-CP ngày 06/3/2006 của Chính phủ quy định chi tiết thi hành Pháp lệnh Phí và lệ phí;</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1" w:history="1">
        <w:r>
          <w:rPr>
            <w:rStyle w:val="Hyperlink"/>
            <w:i/>
          </w:rPr>
          <w:t xml:space="preserve">75/2000/NĐ-CP </w:t>
        </w:r>
        <w:r>
          <w:rPr>
            <w:i/>
          </w:rPr>
          <w:t xml:space="preserve"> ngày 08/12/2000 của Chính phủ về công chứng, chứng thực;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2" w:history="1">
        <w:r>
          <w:rPr>
            <w:rStyle w:val="Hyperlink"/>
            <w:i/>
          </w:rPr>
          <w:t xml:space="preserve">88/2009/NĐ-CP </w:t>
        </w:r>
        <w:r>
          <w:rPr>
            <w:i/>
          </w:rPr>
          <w:t xml:space="preserve"> ngày 19/10/2009 của Chính phủ quy định việc cấp Giấy chứng nhận quyền sử dụng đất, quyền sở hữu nhà ở và tài sản khác gắn liền với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3" w:history="1">
        <w:r>
          <w:rPr>
            <w:rStyle w:val="Hyperlink"/>
            <w:i/>
          </w:rPr>
          <w:t xml:space="preserve">118/2008/NĐ-CP </w:t>
        </w:r>
        <w:r>
          <w:rPr>
            <w:i/>
          </w:rPr>
          <w:t xml:space="preserve"> ngày 27/11/2008 của Chính phủ quy định chức năng, nhiệm vụ, quyền hạn và cơ cấu tổ chức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4" w:history="1">
        <w:r>
          <w:rPr>
            <w:rStyle w:val="Hyperlink"/>
            <w:i/>
          </w:rPr>
          <w:t xml:space="preserve">22/2013/NĐ-CP </w:t>
        </w:r>
        <w:r>
          <w:rPr>
            <w:i/>
          </w:rPr>
          <w:t xml:space="preserve"> ngày 13/3/2013 của Chính phủ quy định chức năng, nhiệm vụ, quyền hạn và cơ cấu tổ chức của Bộ Tư pháp;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trưởng Vụ Chính sách Thuế, Cục trưởng Cục Hộ tịch, quốc tịch,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Bộ trưởng Bộ Tư pháp quy định mức thu, chế độ thu, nộp, quản lý và sử dụng lệ phí chứng thực hợp đồng, giao dịch,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mức thu, chế độ thu, nộp, quản lý và sử dụng lệ phí chứng thực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yêu cầu chứng thực hợp đồng, giao dịch tại Uỷ ban nhân dân cấp huyện, Uỷ ban nhân dân cấp xã (ở các địa phương được phép thực hiện chứng thực hợp đồng, giao dịch theo quy định của pháp luật) phải nộp lệ phí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thực hiện chứng thực hợp đồng, giao dịch là cơ quan thu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Mức thu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thu lệ phí chứng thực hợp đồng, giao dịch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thu lệ phí chứng thực hợp đồng, giao dịch liên quan đến bất động sản được xác định theo giá trị tài sản hoặc giá trị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thu lệ phí chứng thực đối với các hợp đồng, giao dịch sau đây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thực hợp đồng chuyển nhượng, tặng cho quyền sử dụng đất, góp vốn bằng quyền sử dụng đất (tính trên giá trị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thực hợp đồng chuyển nhượng, tặng cho quyền sử dụng đất có tài sản gắn liền với đất, góp vốn bằng quyền sử dụng đất có tài sản gắn liền với đất (tính trên tổng giá trị quyền sử dụng đất và giá trị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thực văn bản thoả thuận phân chia di sản, văn bản khai nhận di sản (tính trên giá trị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thực hợp đồng thế chấp tài sản (tính trên giá trị tài sản; trường hợp trong hợp đồng thế chấp tài sản có ghi giá trị khoản vay thấp hơn giá trị tài sản thế chấp thì tính trên giá trị khoản vay).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tài sản hoặc giá trị hợp đồng,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(đồng/trường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 triệu đồng đến 100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triệu đồng đến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triệu đồng đến 1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 tỷ đồng đến 2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 tỷ đồng đến 3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3 tỷ đồng đến 4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4 tỷ đồng đến 5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 tỷ đồng đến 10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thu lệ phí đối với các việc chứng thực hợp đồng thuê quyền sử dụng đất, thuê nhà ở (tính trên tổng số tiền thuê) được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00"/>
        <w:gridCol w:w="5040"/>
        <w:gridCol w:w="3240"/>
      </w:tblGrid>
      <w:tr>
        <w:trPr>
          <w:tblHeader/>
        </w:trPr>
        <w:tc>
          <w:tcPr>
            <w:tcW w:w="90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50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hợp đồng, giao dịch</w:t>
            </w:r>
          </w:p>
        </w:tc>
        <w:tc>
          <w:tcPr>
            <w:tcW w:w="32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(đồng/trường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 triệu đồng đến 100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triệu đồng đến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triệu đồng đến 1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 tỷ đồng đến 2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 tỷ đồng đến 3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3 tỷ đồng đến 4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4 tỷ đồng đến 5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 tỷ đồng đến 10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hợp đồng, giao dịch về quyền sử dụng đất, tài sản có giá thoả thuận cao hơn mức giá quy định của cơ quan nhà nước có thẩm quyền thì giá trị quyền sử dụng đất, giá trị tài sản tính lệ phí chứng thực được xác định theo thoả thuận của các bên trong hợp đồng, giao dịch đó; trường hợp giá đất, giá tài sản do các bên thoả thuận thấp hơn mức giá do cơ quan nhà nước có thẩm quyền quy định áp dụng tại thời điểm chứng thực thì giá trị tính lệ phí chứng thực được tính như sau: Giá trị quyền sử dụng đất, giá trị tài sản tính lệ phí = Diện tích đất, số lượng tài sản ghi trong hợp đồng, giao dịch (x) Giá đất, giá tài sản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thu lệ phí chứng thực hợp đồng, giao dịch không theo giá trị tài sản hoặc giá trị hợp đồng, giao dịch được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25"/>
        <w:gridCol w:w="5655"/>
        <w:gridCol w:w="2520"/>
      </w:tblGrid>
      <w:tr>
        <w:trPr>
          <w:tblHeader/>
        </w:trPr>
        <w:tc>
          <w:tcPr>
            <w:tcW w:w="82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56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việc</w:t>
            </w:r>
          </w:p>
        </w:tc>
        <w:tc>
          <w:tcPr>
            <w:tcW w:w="252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(đồng/trường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hợp đồng chuyển đổi quyền sử dụng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hợp đồng bán đấu giá bất động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hợp đồng bảo lãnh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hợp đồng uỷ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giấy uỷ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sửa đổi, bổ sung hợp đồng,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việc huỷ bỏ hợp đồng,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di chúc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văn bản từ chối nhận di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thu lệ phí chứng thực hợp đồng, giao dịch khác có giá trị dưới 50 triệu đồng là: 40.000 đồng/trường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Quản lý và sử dụng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Lệ phí chứng thực là khoản thu thuộc ngân sách nhà nước. Cơ quan thu lệ phí nộp 100% (một trăm phần trăm) tổng số tiền lệ phí thu được vào ngân sách nhà nước theo chương, mục, tiểu mục của Mục lục ngân sách nhà nước hiện hành. Các khoản chi phí liên quan đến công tác chứng thực hợp đồng, giao dịch được ngân sách nhà nước cấp theo dự toán được duyệt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01/7/2013. Bãi bỏ quy định về chế độ thu, nộp và quản lý sử dụng lệ phí chứng thực hợp đồng, giao dịch tại Thông tư liên tịch số 93/2001/TTLT /BTC-BTP ngày 21/11/2001 của liên Bộ Tài chính - Tư pháp hướng dẫn chế độ thu, nộp và quản lý sử dụng phí, lệ phí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nội dung khác liên quan đến việc thu, nộp, quản lý, sử dụng, công khai chế độ thu lệ phí không hướng dẫn tại Thông tư này được thực hiện theo hướng dẫn tại Thông tư số </w:t>
      </w:r>
      <w:hyperlink r:id="rId15" w:history="1">
        <w:r>
          <w:rPr>
            <w:rStyle w:val="Hyperlink"/>
          </w:rPr>
          <w:t xml:space="preserve">63/2002/TT-BTC </w:t>
        </w:r>
        <w:r>
          <w:t xml:space="preserve"> ngày 24/7/2002 của Bộ Tài chính hướng dẫn thực hiện các quy định pháp luật về phí và lệ phí, Thông tư số 45/2006/TT-BTC ngày 25/5/2006 sửa đổi, bổ sung Thông tư số 63/2002/TT-BTC ngày 24/7/2002, Thông tư số 28/2011/TT-BTC ngày 28/2/2011 của Bộ Tài chính hướng dẫn thi hành một số điều của Luật Quản lý thuế, hướng dẫn thi hành Nghị định số 85/2007/NĐ-CP ngày 25/5/2007 và Nghị định số 106/2010/NĐ-CP ngày 28/10/2010 của Chính phủ, Thông tư số 153/2012/TT-BTC ngày 17/9/2012 của Bộ Tài chính hướng dẫn việc in, phát hành và quản lý và sử dụng các loại chứng từ thu tiền phí, lệ phí thuộc ngân sách nhà nước và các văn bản sửa đổi, bổ sung (nếu có).</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thuộc đối tượng nộp lệ phí và các cơ quan liên quan chịu trách nhiệm thi hành Thông tư này. Trong quá trình triển khai thực hiện, nếu có vướng mắc, đề nghị các tổ chức, cá nhân phản ánh kịp thời về Bộ Tài chính, Bộ Tư pháp để xem xét,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TƯ PHÁP</w:t>
            </w:r>
            <w:r>
              <w:rPr>
                <w:b/>
              </w:rPr>
              <w:br/>
            </w:r>
            <w:r>
              <w:rPr>
                <w:b/>
              </w:rPr>
              <w:t xml:space="preserve">THỨ TRƯỞNG</w:t>
            </w:r>
            <w:r>
              <w:rPr>
                <w:b/>
              </w:rPr>
              <w:br/>
            </w:r>
            <w:r>
              <w:rPr>
                <w:b/>
              </w:rPr>
              <w:br/>
            </w:r>
            <w:r>
              <w:rPr>
                <w:b/>
              </w:rPr>
              <w:br/>
            </w:r>
            <w:r>
              <w:rPr>
                <w:b/>
              </w:rPr>
              <w:br/>
            </w:r>
            <w:r>
              <w:rPr>
                <w:b/>
              </w:rPr>
              <w:br/>
            </w:r>
            <w:r>
              <w:rPr>
                <w:b/>
              </w:rPr>
              <w:t xml:space="preserve">Lê Hồng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TÀI CHÍNH</w:t>
            </w:r>
            <w:r>
              <w:rPr>
                <w:b/>
              </w:rPr>
              <w:br/>
            </w:r>
            <w:r>
              <w:rPr>
                <w:b/>
              </w:rPr>
              <w:t xml:space="preserve">THỨ TRƯỞNG</w:t>
            </w:r>
            <w:r>
              <w:rPr>
                <w:b/>
              </w:rPr>
              <w:br/>
            </w:r>
            <w:r>
              <w:rPr>
                <w:b/>
              </w:rPr>
              <w:br/>
            </w:r>
            <w:r>
              <w:rPr>
                <w:b/>
              </w:rPr>
              <w:br/>
            </w:r>
            <w:r>
              <w:rPr>
                <w:b/>
              </w:rPr>
              <w:br/>
            </w:r>
            <w:r>
              <w:rPr>
                <w:b/>
              </w:rPr>
              <w:br/>
            </w:r>
            <w:r>
              <w:rPr>
                <w:b/>
              </w:rPr>
              <w:t xml:space="preserve">Vũ Thị Mai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Văn phòng Ban chỉ đạo Trung ương về phòng, chống tham nhũng;</w:t>
            </w:r>
            <w:r>
              <w:rPr/>
              <w:br/>
            </w:r>
            <w:r>
              <w:t xml:space="preserve">- Cơ quan Trung ương của các đoàn thể;</w:t>
            </w:r>
            <w:r>
              <w:rPr/>
              <w:br/>
            </w:r>
            <w:r>
              <w:t xml:space="preserve">- Công báo;</w:t>
            </w:r>
            <w:r>
              <w:rPr/>
              <w:br/>
            </w:r>
            <w:r>
              <w:t xml:space="preserve">- Cục kiểm tra văn bản (Bộ Tư pháp);</w:t>
            </w:r>
            <w:r>
              <w:rPr/>
              <w:br/>
            </w:r>
            <w:r>
              <w:t xml:space="preserve">- UBND, Sở Tài chính, Cục Thuế, KBNN các tỉnh, thành phố trực thuộc Trung ương;</w:t>
            </w:r>
            <w:r>
              <w:rPr/>
              <w:br/>
            </w:r>
            <w:r>
              <w:t xml:space="preserve">- Các đơn vị thuộc Bộ Tài chính;</w:t>
            </w:r>
            <w:r>
              <w:rPr/>
              <w:br/>
            </w:r>
            <w:r>
              <w:t xml:space="preserve">- Website Chính phủ;</w:t>
            </w:r>
            <w:r>
              <w:rPr/>
              <w:br/>
            </w:r>
            <w:r>
              <w:t xml:space="preserve">- Website Bộ Tài chính;</w:t>
            </w:r>
            <w:r>
              <w:rPr/>
              <w:br/>
            </w:r>
            <w:r>
              <w:t xml:space="preserve">- Lưu: VT Bộ Tài chính, Bộ Tư pháp.</w:t>
            </w:r>
          </w:p>
        </w:tc>
        <w:tc>
          <w:tcPr>
            <w:tcW w:w="0" w:type="auto"/>
            <w:hMerge/>
            <w:shd w:val="clear" w:color="auto" w:fill="auto"/>
            <w:vAlign w:val="center"/>
          </w:tcPr>
          <w:p>
            <w:pPr/>
          </w:p>
        </w:tc>
      </w:tr>
    </w:tbl>
    <w:p>
      <w:pP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SpireTableThStyle5e849f11-769f-4e1f-b19d-0443d81f21ee">
    <w:name w:val="SpireTableThStyle5e849f11-769f-4e1f-b19d-0443d81f21ee"/>
    <w:basedOn w:val="Normal"/>
    <w:qFormat/>
    <w:pPr>
      <w:jc w:val="center"/>
    </w:pPr>
    <w:rPr>
      <w:b/>
      <w:sz w:val="24"/>
    </w:rPr>
  </w:style>
  <w:style w:type="paragraph" w:styleId="SpireTableThStyleba3e9eee-4428-4820-86f0-2e8c0f8ba8c5">
    <w:name w:val="SpireTableThStyleba3e9eee-4428-4820-86f0-2e8c0f8ba8c5"/>
    <w:basedOn w:val="Normal"/>
    <w:qFormat/>
    <w:pPr>
      <w:jc w:val="center"/>
    </w:pPr>
    <w:rPr>
      <w:b/>
      <w:sz w:val="24"/>
    </w:rPr>
  </w:style>
  <w:style w:type="paragraph" w:styleId="SpireTableThStyle3982e0a0-e1b6-4b0e-a96b-c765fc9c7fc1">
    <w:name w:val="SpireTableThStyle3982e0a0-e1b6-4b0e-a96b-c765fc9c7fc1"/>
    <w:basedOn w:val="Normal"/>
    <w:qFormat/>
    <w:pPr>
      <w:jc w:val="center"/>
    </w:pPr>
    <w:rPr>
      <w:b/>
      <w:sz w:val="24"/>
    </w:rPr>
  </w:style>
  <w:style w:type="paragraph" w:styleId="SpireTableThStyle22bbb28e-4adc-4b80-bf22-a5b481a54c99">
    <w:name w:val="SpireTableThStyle22bbb28e-4adc-4b80-bf22-a5b481a54c99"/>
    <w:basedOn w:val="Normal"/>
    <w:qFormat/>
    <w:pPr>
      <w:jc w:val="center"/>
    </w:pPr>
    <w:rPr>
      <w:b/>
      <w:sz w:val="24"/>
    </w:rPr>
  </w:style>
  <w:style w:type="paragraph" w:styleId="SpireTableThStyle882e92cf-02a2-4db0-a7a6-76a19ccd65d5">
    <w:name w:val="SpireTableThStyle882e92cf-02a2-4db0-a7a6-76a19ccd65d5"/>
    <w:basedOn w:val="Normal"/>
    <w:qFormat/>
    <w:pPr>
      <w:jc w:val="center"/>
    </w:pPr>
    <w:rPr>
      <w:b/>
      <w:sz w:val="24"/>
    </w:rPr>
  </w:style>
  <w:style w:type="paragraph" w:styleId="SpireTableThStyle3114df7b-83bd-4cd2-9d2e-a5102ded50c3">
    <w:name w:val="SpireTableThStyle3114df7b-83bd-4cd2-9d2e-a5102ded50c3"/>
    <w:basedOn w:val="Normal"/>
    <w:qFormat/>
    <w:pPr>
      <w:jc w:val="center"/>
    </w:pPr>
    <w:rPr>
      <w:b/>
      <w:sz w:val="24"/>
    </w:rPr>
  </w:style>
  <w:style w:type="paragraph" w:styleId="SpireTableThStylea5ace151-421e-4dc3-aab3-33a7ef92c289">
    <w:name w:val="SpireTableThStylea5ace151-421e-4dc3-aab3-33a7ef92c289"/>
    <w:basedOn w:val="Normal"/>
    <w:qFormat/>
    <w:pPr>
      <w:jc w:val="center"/>
    </w:pPr>
    <w:rPr>
      <w:b/>
      <w:sz w:val="24"/>
    </w:rPr>
  </w:style>
  <w:style w:type="paragraph" w:styleId="SpireTableThStyle5d29cbce-e10c-46d0-b392-351f9bf84e3e">
    <w:name w:val="SpireTableThStyle5d29cbce-e10c-46d0-b392-351f9bf84e3e"/>
    <w:basedOn w:val="Normal"/>
    <w:qFormat/>
    <w:pPr>
      <w:jc w:val="center"/>
    </w:pPr>
    <w:rPr>
      <w:b/>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57-2002-nd-cp-huong-dan-phap-lenh-phi-va-le-phi.aspx" TargetMode="External" /><Relationship Id="rId11" Type="http://schemas.openxmlformats.org/officeDocument/2006/relationships/hyperlink" Target="/nghi-dinh-75-2000-nd-cp-cua-chinh-phu-ve-cong-chung-chung-thuc.aspx" TargetMode="External" /><Relationship Id="rId12" Type="http://schemas.openxmlformats.org/officeDocument/2006/relationships/hyperlink" Target="/nghi-dinh-so-88-2009-nd-cp-ve-cap-giay-chung-nhan-quyen-su-dung-dat--quyen-so-huu-nha.aspx" TargetMode="External" /><Relationship Id="rId13" Type="http://schemas.openxmlformats.org/officeDocument/2006/relationships/hyperlink" Target="/nghi-dinh-so-118-2008-nd-cp-cua-chinh-phu---quy-dinh-chuc-nang--nhiem-vu--quyen-han-va-co-cau-to-chuc-cua-bo-tai-chinh.aspx" TargetMode="External" /><Relationship Id="rId14" Type="http://schemas.openxmlformats.org/officeDocument/2006/relationships/hyperlink" Target="/nghi-dinh-so-22-2013-nd-cp-cua-chinh-phu---quy-dinh-chuc-nang--nhiem-vu--quyen-han-va-co-cau-to-chuc-cua-bo-tu-phap.aspx" TargetMode="External" /><Relationship Id="rId15" Type="http://schemas.openxmlformats.org/officeDocument/2006/relationships/hyperlink" Target="/thong-tu-so-63-2002-tt-btc-cua-bo-tai-chinh---huong-dan-thuc-hien-cac-quy-dinh-phap-luat-ve-phi-va-le-ph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tu-van-luat-thue-va-huong-dan-lap-bang-ke-thu-mua-san-pham-nong-nghiep-trong-hop-tac-xa-.aspx" TargetMode="External" /><Relationship Id="rId7" Type="http://schemas.openxmlformats.org/officeDocument/2006/relationships/hyperlink" Target="tel:1900.6162" TargetMode="External" /><Relationship Id="rId8" Type="http://schemas.openxmlformats.org/officeDocument/2006/relationships/hyperlink" Target="/thong-tu-lien-tich-62-2013-ttlt-btc-btp-ve-viec-quy-dinh-muc-thu-che-do-thu-nop-quan-ly-va-su-dung-le-phi-chung-thuc-hop-dong-giao-dich-.aspx" TargetMode="External" /><Relationship Id="rId9" Type="http://schemas.openxmlformats.org/officeDocument/2006/relationships/hyperlink" Target="/luat-nha-o-so-56-2005-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2022-06-22T13:49:32Z</dcterms:created>
  <dcterms:modified xsi:type="dcterms:W3CDTF">2022-06-22T13:49:32Z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2022-06-22T13:49:32Z</dcterms:created>
  <dcterms:modified xsi:type="dcterms:W3CDTF">2022-06-22T13:49:32Z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2022-06-22T13:49:32Z</dcterms:created>
  <dcterms:modified xsi:type="dcterms:W3CDTF">2022-06-22T13:49:32Z</dcterms:modified>
</cp:coreProperties>
</file>