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 </w:t>
            </w:r>
            <w:r>
              <w:rPr>
                <w:b/>
              </w:rPr>
              <w:br/>
            </w:r>
            <w:r>
              <w:rPr>
                <w:b/>
              </w:rPr>
              <w:t xml:space="preserve">-------</w:t>
            </w:r>
          </w:p>
          <w:p>
            <w:pPr>
              <w:pStyle w:val="Normal(Web)"/>
              <w:divId w:val="2"/>
              <w:jc w:val="center"/>
              <w:rPr>
                <w:vanish w:val="0"/>
              </w:rPr>
            </w:pPr>
            <w:r>
              <w:t xml:space="preserve">Số: </w:t>
            </w:r>
            <w:hyperlink r:id="rId3" w:history="1">
              <w:r>
                <w:rPr>
                  <w:rStyle w:val="Hyperlink"/>
                </w:rPr>
                <w:t xml:space="preserve">122/2014/TT-BTC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27 tháng 08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DANH MỤC NHÓM MẶT HÀNG VÀ MỨC THUẾ SUẤT </w:t>
      </w:r>
    </w:p>
    <w:p>
      <w:pPr>
        <w:pStyle w:val="Normal(Web)"/>
        <w:divId w:val="7"/>
        <w:jc w:val="center"/>
        <w:rPr>
          <w:vanish w:val="0"/>
        </w:rPr>
      </w:pPr>
      <w:r>
        <w:rPr>
          <w:b/>
        </w:rPr>
        <w:t xml:space="preserve">THUẾ NHẬP KHẨU ƯU ĐÃI RIÊNG ĐỐI VỚI MẶT HÀNG KHUNG GẦM ĐÃ GẮN ĐỘNG CƠ,</w:t>
      </w:r>
    </w:p>
    <w:p>
      <w:pPr>
        <w:pStyle w:val="Normal(Web)"/>
        <w:divId w:val="8"/>
        <w:jc w:val="center"/>
        <w:rPr>
          <w:vanish w:val="0"/>
        </w:rPr>
      </w:pPr>
      <w:r>
        <w:rPr>
          <w:b/>
        </w:rPr>
        <w:t xml:space="preserve">CÓ BUỒNG LÁI, CÓ TỔNG TRỌNG LƯỢNG CÓ TẢI TRÊN 20 TẤN </w:t>
      </w:r>
    </w:p>
    <w:p>
      <w:pPr>
        <w:pStyle w:val="Normal(Web)"/>
        <w:divId w:val="9"/>
        <w:jc w:val="center"/>
        <w:rPr>
          <w:vanish w:val="0"/>
        </w:rPr>
      </w:pPr>
      <w:r>
        <w:rPr>
          <w:b/>
        </w:rPr>
        <w:t xml:space="preserve">NHƯNG KHÔNG QUÁ 45 TẤN QUY ĐỊNH TẠI THÔNG TƯ SỐ </w:t>
      </w:r>
      <w:hyperlink r:id="rId4" w:history="1">
        <w:r>
          <w:rPr>
            <w:rStyle w:val="Hyperlink"/>
            <w:b/>
          </w:rPr>
          <w:t xml:space="preserve">164/2013/TT-BTC </w:t>
        </w:r>
      </w:hyperlink>
      <w:r>
        <w:rPr>
          <w:b/>
        </w:rPr>
        <w:t xml:space="preserve"> NGÀY 15/11/2013 CỦA BỘ TRƯỞNG BỘ TÀI CHÍNH</w:t>
      </w:r>
    </w:p>
    <w:p>
      <w:pPr>
        <w:pStyle w:val="Normal(Web)"/>
        <w:divId w:val="10"/>
        <w:rPr>
          <w:vanish w:val="0"/>
        </w:rPr>
      </w:pPr>
      <w:r>
        <w:rPr>
          <w:i/>
        </w:rPr>
        <w:t xml:space="preserve">Căn cứ Luật Thuế xuất khẩu, Thuế nhập khẩu ngày 14/6/2005;</w:t>
      </w:r>
    </w:p>
    <w:p>
      <w:pPr>
        <w:pStyle w:val="Normal(Web)"/>
        <w:divId w:val="11"/>
        <w:rPr>
          <w:vanish w:val="0"/>
        </w:rPr>
      </w:pPr>
      <w:r>
        <w:rPr>
          <w:i/>
        </w:rPr>
        <w:t xml:space="preserve">Căn cứ Nghị quyết số 295/2007/NQ-UBTVQH12 ngày 28/9/2007 của</w:t>
      </w:r>
      <w:r>
        <w:rPr>
          <w:i/>
        </w:rPr>
        <w:t xml:space="preserve">Ủy ban</w:t>
      </w:r>
      <w:r>
        <w:rPr>
          <w:i/>
        </w:rPr>
        <w:t xml:space="preserve"> Thường vụ Quốc hội về việc ban hành Biểu thuế xuất khẩu theo danh mục nhóm hàng chịu thuế và khung thuế suất đối với từng nhóm hàng, Biểu thuế </w:t>
      </w:r>
      <w:r>
        <w:rPr>
          <w:i/>
        </w:rPr>
        <w:t xml:space="preserve">nhập khẩu</w:t>
      </w:r>
      <w:r>
        <w:rPr>
          <w:i/>
        </w:rPr>
        <w:t xml:space="preserve"> ưu đãi theo danh mục nhóm hàng chịu thuế và khung thuế suất ưu đãi đối với từng nhóm hàng;</w:t>
      </w:r>
    </w:p>
    <w:p>
      <w:pPr>
        <w:pStyle w:val="Normal(Web)"/>
        <w:divId w:val="12"/>
        <w:rPr>
          <w:vanish w:val="0"/>
        </w:rPr>
      </w:pPr>
      <w:r>
        <w:rPr>
          <w:i/>
        </w:rPr>
        <w:t xml:space="preserve">Căn cứ </w:t>
      </w:r>
      <w:r>
        <w:rPr>
          <w:i/>
        </w:rPr>
        <w:t xml:space="preserve">Nghị định số</w:t>
      </w:r>
      <w:r>
        <w:rPr>
          <w:i/>
        </w:rPr>
        <w:t xml:space="preserve"> 87/2010/NĐ-CP ngày 13/8/2010 của</w:t>
      </w:r>
      <w:r>
        <w:rPr>
          <w:i/>
        </w:rPr>
        <w:t xml:space="preserve">Chính phủ</w:t>
      </w:r>
      <w:r>
        <w:rPr>
          <w:i/>
        </w:rPr>
        <w:t xml:space="preserve"> quy định chi tiết thi hành một số </w:t>
      </w:r>
      <w:r>
        <w:rPr>
          <w:i/>
        </w:rPr>
        <w:t xml:space="preserve">điều</w:t>
      </w:r>
      <w:r>
        <w:rPr>
          <w:i/>
        </w:rPr>
        <w:t xml:space="preserve"> của Luật Thuế </w:t>
      </w:r>
      <w:r>
        <w:rPr>
          <w:i/>
        </w:rPr>
        <w:t xml:space="preserve">xuất khẩu</w:t>
      </w:r>
      <w:r>
        <w:rPr>
          <w:i/>
        </w:rPr>
        <w:t xml:space="preserve">, Thuế nhập khẩu;</w:t>
      </w:r>
    </w:p>
    <w:p>
      <w:pPr>
        <w:pStyle w:val="Normal(Web)"/>
        <w:divId w:val="13"/>
        <w:rPr>
          <w:vanish w:val="0"/>
        </w:rPr>
      </w:pPr>
      <w:r>
        <w:rPr>
          <w:i/>
        </w:rPr>
        <w:t xml:space="preserve">Căn cứ Nghị định số 215/2013/NĐ-CP ngày 23/12/2013</w:t>
      </w:r>
      <w:r>
        <w:rPr>
          <w:i/>
        </w:rPr>
        <w:t xml:space="preserve">của</w:t>
      </w:r>
      <w:r>
        <w:rPr>
          <w:i/>
        </w:rPr>
        <w:t xml:space="preserve"> </w:t>
      </w:r>
      <w:r>
        <w:rPr>
          <w:i/>
        </w:rPr>
        <w:t xml:space="preserve">Chính phủ</w:t>
      </w:r>
      <w:r>
        <w:rPr>
          <w:i/>
        </w:rPr>
        <w:t xml:space="preserve"> quy định chức năng, nhiệm vụ, quyền hạn và </w:t>
      </w:r>
      <w:r>
        <w:rPr>
          <w:i/>
        </w:rPr>
        <w:t xml:space="preserve">cơ cấu</w:t>
      </w:r>
      <w:r>
        <w:rPr>
          <w:i/>
        </w:rPr>
        <w:t xml:space="preserve"> tổ chức của Bộ Tài chính;</w:t>
      </w:r>
    </w:p>
    <w:p>
      <w:pPr>
        <w:pStyle w:val="Normal(Web)"/>
        <w:divId w:val="14"/>
        <w:rPr>
          <w:vanish w:val="0"/>
        </w:rPr>
      </w:pPr>
      <w:r>
        <w:rPr>
          <w:i/>
        </w:rPr>
        <w:t xml:space="preserve">Theo đề nghị của Vụ trưởng Vụ Chính sách Thuế,</w:t>
      </w:r>
    </w:p>
    <w:p>
      <w:pPr>
        <w:pStyle w:val="Normal(Web)"/>
        <w:divId w:val="15"/>
        <w:rPr>
          <w:vanish w:val="0"/>
        </w:rPr>
      </w:pPr>
      <w:r>
        <w:rPr>
          <w:i/>
        </w:rPr>
        <w:t xml:space="preserve">Bộ trưởng Bộ Tài chính ban hành Thông tư sửa đổi, bổ sung danh mục nhóm mặt hàng và mức thuế suất thuế nhập khẩu ưu đãi riêng đối với mặt hàng khung gầm đã gắn động cơ, có buồng lái (xe ô tô sát xi, có buồng lái), có tổng trọng lượng có tải trên 20 tấn nhưng không quá 45 tấn thuộc Chương 98 của Biểu thuế nhập khẩu ưu đãi ban hành kèm theo Thông tư số 164/2013/TT-BTC ngày 15/11/2013 của Bộ trưởng Bộ</w:t>
      </w:r>
      <w:r>
        <w:rPr>
          <w:i/>
        </w:rPr>
        <w:t xml:space="preserve">Tài chính</w:t>
      </w:r>
      <w:r>
        <w:rPr>
          <w:i/>
        </w:rPr>
        <w:t xml:space="preserve">.</w:t>
      </w:r>
    </w:p>
    <w:p>
      <w:pPr>
        <w:pStyle w:val="Normal(Web)"/>
        <w:divId w:val="16"/>
        <w:rPr>
          <w:vanish w:val="0"/>
        </w:rPr>
      </w:pPr>
      <w:r>
        <w:rPr>
          <w:b/>
        </w:rPr>
        <w:t xml:space="preserve">Điều 1. Sửa đổi, bổ sung Mục I - Chú giải và điều kiện áp dụng thuế suất thuế nhập khẩu ưu đãi riêng tại Chương 98</w:t>
      </w:r>
    </w:p>
    <w:p>
      <w:pPr>
        <w:pStyle w:val="Normal(Web)"/>
        <w:divId w:val="17"/>
        <w:rPr>
          <w:vanish w:val="0"/>
        </w:rPr>
      </w:pPr>
      <w:r>
        <w:t xml:space="preserve">Bổ sung khoản 1.36 vào điểm 1 Chú giải Chương thuộc Mục I - Chú giải và điều kiện áp dụng thuế suất thuế nhập khẩu ưu đãi riêng tại Chương 98 như sau:</w:t>
      </w:r>
    </w:p>
    <w:p>
      <w:pPr>
        <w:pStyle w:val="Normal(Web)"/>
        <w:divId w:val="18"/>
        <w:rPr>
          <w:vanish w:val="0"/>
        </w:rPr>
      </w:pPr>
      <w:r>
        <w:t xml:space="preserve">“1.36. Khung gầm đã gắn động cơ, có buồng lái (xe ô tô sát xi, có buồng lái), có tổng trọng lượng có tải trên 20 tấn nhưng không quá 45 tấn”.</w:t>
      </w:r>
    </w:p>
    <w:p>
      <w:pPr>
        <w:pStyle w:val="Normal(Web)"/>
        <w:divId w:val="19"/>
        <w:rPr>
          <w:vanish w:val="0"/>
        </w:rPr>
      </w:pPr>
      <w:r>
        <w:rPr>
          <w:b/>
        </w:rPr>
        <w:t xml:space="preserve">Điều 2. Sửa đổi, bổ sung Mục II - Danh mục nhóm mặt hàng và mức thuế suất thuế nhập khẩu ưu đãi tại Ch</w:t>
      </w:r>
      <w:r>
        <w:rPr>
          <w:b/>
        </w:rPr>
        <w:t xml:space="preserve">ươ</w:t>
      </w:r>
      <w:r>
        <w:rPr>
          <w:b/>
        </w:rPr>
        <w:t xml:space="preserve">ng 98</w:t>
      </w:r>
    </w:p>
    <w:p>
      <w:pPr>
        <w:pStyle w:val="Normal(Web)"/>
        <w:divId w:val="20"/>
        <w:rPr>
          <w:vanish w:val="0"/>
        </w:rPr>
      </w:pPr>
      <w:r>
        <w:t xml:space="preserve">Bổ sung nhóm 9836 - Khung gầm đã gắn động cơ, có buồng lái (xe ô tô sát xi, có buồng lái) vào Mục II - Danh mục nhóm mặt hàng và mức thuế suất thuế nhập khẩu ưu đãi tại Chương 98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hMerge w:val="restart"/>
            <w:shd w:val="clear" w:color="auto" w:fill="auto"/>
            <w:vAlign w:val="center"/>
          </w:tcPr>
          <w:p>
            <w:pPr>
              <w:pStyle w:val="Normal(Web)"/>
              <w:divId w:val="21"/>
              <w:jc w:val="center"/>
              <w:rPr>
                <w:vanish w:val="0"/>
              </w:rPr>
            </w:pPr>
            <w:r>
              <w:rPr>
                <w:b/>
              </w:rPr>
              <w:t xml:space="preserve">Mã hàng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2"/>
              <w:jc w:val="center"/>
              <w:rPr>
                <w:vanish w:val="0"/>
              </w:rPr>
            </w:pPr>
            <w:r>
              <w:rPr>
                <w:b/>
              </w:rPr>
              <w:t xml:space="preserve">Mô tả hàng hóa</w:t>
            </w:r>
          </w:p>
        </w:tc>
        <w:tc>
          <w:tcPr>
            <w:tcW w:w="0" w:type="auto"/>
            <w:hMerge w:val="restart"/>
            <w:shd w:val="clear" w:color="auto" w:fill="auto"/>
            <w:vAlign w:val="center"/>
          </w:tcPr>
          <w:p>
            <w:pPr>
              <w:pStyle w:val="Normal(Web)"/>
              <w:divId w:val="23"/>
              <w:jc w:val="center"/>
              <w:rPr>
                <w:vanish w:val="0"/>
              </w:rPr>
            </w:pPr>
            <w:r>
              <w:rPr>
                <w:b/>
              </w:rPr>
              <w:t xml:space="preserve">Mã hàng tương ứng tại mục I phụ lục II</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4"/>
              <w:jc w:val="center"/>
              <w:rPr>
                <w:vanish w:val="0"/>
              </w:rPr>
            </w:pPr>
            <w:r>
              <w:rPr>
                <w:b/>
              </w:rPr>
              <w:t xml:space="preserve">Thuế suất </w:t>
            </w:r>
            <w:r>
              <w:t xml:space="preserve">(%)</w:t>
            </w:r>
          </w:p>
        </w:tc>
      </w:tr>
      <w:tr>
        <w:trPr>
          <w:jc w:val="left"/>
        </w:trPr>
        <w:tc>
          <w:tcPr>
            <w:tcW w:w="0" w:type="auto"/>
            <w:shd w:val="clear" w:color="auto" w:fill="auto"/>
            <w:vAlign w:val="center"/>
          </w:tcPr>
          <w:p>
            <w:pPr>
              <w:pStyle w:val="Normal(Web)"/>
              <w:divId w:val="25"/>
              <w:jc w:val="center"/>
              <w:rPr>
                <w:vanish w:val="0"/>
              </w:rPr>
            </w:pPr>
            <w:r>
              <w:rPr>
                <w:b/>
              </w:rPr>
              <w:t xml:space="preserve">98.36</w:t>
            </w:r>
          </w:p>
        </w:tc>
        <w:tc>
          <w:tcPr>
            <w:tcW w:w="0" w:type="auto"/>
            <w:shd w:val="clear" w:color="auto" w:fill="auto"/>
            <w:vAlign w:val="center"/>
          </w:tcPr>
          <w:p>
            <w:pPr>
              <w:pStyle w:val="Normal(Web)"/>
              <w:divId w:val="26"/>
              <w:rPr>
                <w:vanish w:val="0"/>
              </w:rPr>
            </w:pPr>
            <w:r>
              <w:rPr>
                <w:b/>
              </w:rPr>
              <w:t xml:space="preserve">Khung gầm đã gắn động cơ, có buồng lái (xe ô tô sát xi, có buồng lái)</w:t>
            </w:r>
          </w:p>
        </w:tc>
      </w:tr>
      <w:tr>
        <w:trPr>
          <w:jc w:val="left"/>
        </w:trPr>
        <w:tc>
          <w:tcPr>
            <w:tcW w:w="0" w:type="auto"/>
            <w:shd w:val="clear" w:color="auto" w:fill="auto"/>
            <w:vAlign w:val="center"/>
          </w:tcPr>
          <w:p>
            <w:pPr>
              <w:pStyle w:val="Normal(Web)"/>
              <w:divId w:val="27"/>
              <w:rPr>
                <w:vanish w:val="0"/>
              </w:rPr>
            </w:pPr>
            <w:r>
              <w:t xml:space="preserve">- Của xe có động cơ dùng để vận tải hàng hóa:</w:t>
            </w:r>
          </w:p>
        </w:tc>
      </w:tr>
      <w:tr>
        <w:trPr>
          <w:jc w:val="left"/>
        </w:trPr>
        <w:tc>
          <w:tcPr>
            <w:tcW w:w="0" w:type="auto"/>
            <w:shd w:val="clear" w:color="auto" w:fill="auto"/>
            <w:vAlign w:val="center"/>
          </w:tcPr>
          <w:p>
            <w:pPr>
              <w:pStyle w:val="Normal(Web)"/>
              <w:divId w:val="28"/>
              <w:rPr>
                <w:vanish w:val="0"/>
              </w:rPr>
            </w:pPr>
            <w:r>
              <w:t xml:space="preserve">- - Của xe tự đổ được thiết kế để sử dụng trên các loại đường không phải đường quốc lộ:</w:t>
            </w:r>
          </w:p>
        </w:tc>
      </w:tr>
      <w:tr>
        <w:trPr>
          <w:jc w:val="left"/>
        </w:trPr>
        <w:tc>
          <w:tcPr>
            <w:tcW w:w="0" w:type="auto"/>
            <w:shd w:val="clear" w:color="auto" w:fill="auto"/>
            <w:vAlign w:val="center"/>
          </w:tcPr>
          <w:p>
            <w:pPr>
              <w:pStyle w:val="Normal(Web)"/>
              <w:divId w:val="29"/>
              <w:jc w:val="center"/>
              <w:rPr>
                <w:vanish w:val="0"/>
              </w:rPr>
            </w:pPr>
            <w:r>
              <w:t xml:space="preserve">9836</w:t>
            </w:r>
          </w:p>
        </w:tc>
        <w:tc>
          <w:tcPr>
            <w:tcW w:w="0" w:type="auto"/>
            <w:shd w:val="clear" w:color="auto" w:fill="auto"/>
            <w:vAlign w:val="center"/>
          </w:tcPr>
          <w:p>
            <w:pPr>
              <w:pStyle w:val="Normal(Web)"/>
              <w:divId w:val="30"/>
              <w:jc w:val="center"/>
              <w:rPr>
                <w:vanish w:val="0"/>
              </w:rPr>
            </w:pPr>
            <w:r>
              <w:t xml:space="preserve">10</w:t>
            </w:r>
          </w:p>
        </w:tc>
        <w:tc>
          <w:tcPr>
            <w:tcW w:w="0" w:type="auto"/>
            <w:shd w:val="clear" w:color="auto" w:fill="auto"/>
            <w:vAlign w:val="center"/>
          </w:tcPr>
          <w:p>
            <w:pPr>
              <w:pStyle w:val="Normal(Web)"/>
              <w:divId w:val="31"/>
              <w:jc w:val="center"/>
              <w:rPr>
                <w:vanish w:val="0"/>
              </w:rPr>
            </w:pPr>
            <w:r>
              <w:t xml:space="preserve">00</w:t>
            </w:r>
          </w:p>
        </w:tc>
        <w:tc>
          <w:tcPr>
            <w:tcW w:w="0" w:type="auto"/>
            <w:shd w:val="clear" w:color="auto" w:fill="auto"/>
            <w:vAlign w:val="center"/>
          </w:tcPr>
          <w:p>
            <w:pPr>
              <w:pStyle w:val="Normal(Web)"/>
              <w:divId w:val="32"/>
              <w:rPr>
                <w:vanish w:val="0"/>
              </w:rPr>
            </w:pPr>
            <w:r>
              <w:t xml:space="preserve">- - - Tổng trọng lượng có tải tối đa trên 20 tấn nhưng không quá 24 tấn</w:t>
            </w:r>
          </w:p>
        </w:tc>
        <w:tc>
          <w:tcPr>
            <w:tcW w:w="0" w:type="auto"/>
            <w:shd w:val="clear" w:color="auto" w:fill="auto"/>
            <w:vAlign w:val="center"/>
          </w:tcPr>
          <w:p>
            <w:pPr>
              <w:pStyle w:val="Normal(Web)"/>
              <w:divId w:val="33"/>
              <w:jc w:val="center"/>
              <w:rPr>
                <w:vanish w:val="0"/>
              </w:rPr>
            </w:pPr>
            <w:r>
              <w:t xml:space="preserve">8704</w:t>
            </w:r>
          </w:p>
        </w:tc>
        <w:tc>
          <w:tcPr>
            <w:tcW w:w="0" w:type="auto"/>
            <w:shd w:val="clear" w:color="auto" w:fill="auto"/>
            <w:vAlign w:val="center"/>
          </w:tcPr>
          <w:p>
            <w:pPr>
              <w:pStyle w:val="Normal(Web)"/>
              <w:divId w:val="34"/>
              <w:jc w:val="center"/>
              <w:rPr>
                <w:vanish w:val="0"/>
              </w:rPr>
            </w:pPr>
            <w:r>
              <w:t xml:space="preserve">10</w:t>
            </w:r>
          </w:p>
        </w:tc>
        <w:tc>
          <w:tcPr>
            <w:tcW w:w="0" w:type="auto"/>
            <w:shd w:val="clear" w:color="auto" w:fill="auto"/>
            <w:vAlign w:val="center"/>
          </w:tcPr>
          <w:p>
            <w:pPr>
              <w:pStyle w:val="Normal(Web)"/>
              <w:divId w:val="35"/>
              <w:jc w:val="center"/>
              <w:rPr>
                <w:vanish w:val="0"/>
              </w:rPr>
            </w:pPr>
            <w:r>
              <w:t xml:space="preserve">26</w:t>
            </w:r>
          </w:p>
        </w:tc>
        <w:tc>
          <w:tcPr>
            <w:tcW w:w="0" w:type="auto"/>
            <w:shd w:val="clear" w:color="auto" w:fill="auto"/>
            <w:vAlign w:val="center"/>
          </w:tcPr>
          <w:p>
            <w:pPr>
              <w:pStyle w:val="Normal(Web)"/>
              <w:divId w:val="36"/>
              <w:jc w:val="center"/>
              <w:rPr>
                <w:vanish w:val="0"/>
              </w:rPr>
            </w:pPr>
            <w:r>
              <w:t xml:space="preserve">15</w:t>
            </w:r>
          </w:p>
        </w:tc>
      </w:tr>
      <w:tr>
        <w:trPr>
          <w:jc w:val="left"/>
        </w:trPr>
        <w:tc>
          <w:tcPr>
            <w:tcW w:w="0" w:type="auto"/>
            <w:shd w:val="clear" w:color="auto" w:fill="auto"/>
            <w:vAlign w:val="center"/>
          </w:tcPr>
          <w:p>
            <w:pPr>
              <w:pStyle w:val="Normal(Web)"/>
              <w:divId w:val="37"/>
              <w:rPr>
                <w:vanish w:val="0"/>
              </w:rPr>
            </w:pPr>
            <w:r>
              <w:t xml:space="preserve">- - Của loại khác, có động cơ đốt trong kiểu piston đốt cháy bằng sức nén (diesel hoặc bán diesel):</w:t>
            </w:r>
          </w:p>
        </w:tc>
      </w:tr>
      <w:tr>
        <w:trPr>
          <w:jc w:val="left"/>
        </w:trPr>
        <w:tc>
          <w:tcPr>
            <w:tcW w:w="0" w:type="auto"/>
            <w:shd w:val="clear" w:color="auto" w:fill="auto"/>
            <w:vAlign w:val="center"/>
          </w:tcPr>
          <w:p>
            <w:pPr>
              <w:pStyle w:val="Normal(Web)"/>
              <w:divId w:val="38"/>
              <w:jc w:val="center"/>
              <w:rPr>
                <w:vanish w:val="0"/>
              </w:rPr>
            </w:pPr>
            <w:r>
              <w:t xml:space="preserve">9836</w:t>
            </w:r>
          </w:p>
        </w:tc>
        <w:tc>
          <w:tcPr>
            <w:tcW w:w="0" w:type="auto"/>
            <w:shd w:val="clear" w:color="auto" w:fill="auto"/>
            <w:vAlign w:val="center"/>
          </w:tcPr>
          <w:p>
            <w:pPr>
              <w:pStyle w:val="Normal(Web)"/>
              <w:divId w:val="39"/>
              <w:jc w:val="center"/>
              <w:rPr>
                <w:vanish w:val="0"/>
              </w:rPr>
            </w:pPr>
            <w:r>
              <w:t xml:space="preserve">20</w:t>
            </w:r>
          </w:p>
        </w:tc>
        <w:tc>
          <w:tcPr>
            <w:tcW w:w="0" w:type="auto"/>
            <w:shd w:val="clear" w:color="auto" w:fill="auto"/>
            <w:vAlign w:val="center"/>
          </w:tcPr>
          <w:p>
            <w:pPr>
              <w:pStyle w:val="Normal(Web)"/>
              <w:divId w:val="40"/>
              <w:jc w:val="center"/>
              <w:rPr>
                <w:vanish w:val="0"/>
              </w:rPr>
            </w:pPr>
            <w:r>
              <w:t xml:space="preserve">00</w:t>
            </w:r>
          </w:p>
        </w:tc>
        <w:tc>
          <w:tcPr>
            <w:tcW w:w="0" w:type="auto"/>
            <w:shd w:val="clear" w:color="auto" w:fill="auto"/>
            <w:vAlign w:val="center"/>
          </w:tcPr>
          <w:p>
            <w:pPr>
              <w:pStyle w:val="Normal(Web)"/>
              <w:divId w:val="41"/>
              <w:rPr>
                <w:vanish w:val="0"/>
              </w:rPr>
            </w:pPr>
            <w:r>
              <w:t xml:space="preserve">- - - Tổng trọng lượng có tải tối đa trên 20 tấn nhưng không quá 24 tấn</w:t>
            </w:r>
          </w:p>
        </w:tc>
        <w:tc>
          <w:tcPr>
            <w:tcW w:w="0" w:type="auto"/>
            <w:shd w:val="clear" w:color="auto" w:fill="auto"/>
            <w:vAlign w:val="center"/>
          </w:tcPr>
          <w:p>
            <w:pPr>
              <w:pStyle w:val="Normal(Web)"/>
              <w:divId w:val="42"/>
              <w:jc w:val="center"/>
              <w:rPr>
                <w:vanish w:val="0"/>
              </w:rPr>
            </w:pPr>
            <w:r>
              <w:t xml:space="preserve">8704</w:t>
            </w:r>
          </w:p>
        </w:tc>
        <w:tc>
          <w:tcPr>
            <w:tcW w:w="0" w:type="auto"/>
            <w:shd w:val="clear" w:color="auto" w:fill="auto"/>
            <w:vAlign w:val="center"/>
          </w:tcPr>
          <w:p>
            <w:pPr>
              <w:pStyle w:val="Normal(Web)"/>
              <w:divId w:val="43"/>
              <w:jc w:val="center"/>
              <w:rPr>
                <w:vanish w:val="0"/>
              </w:rPr>
            </w:pPr>
            <w:r>
              <w:t xml:space="preserve">23</w:t>
            </w:r>
          </w:p>
        </w:tc>
        <w:tc>
          <w:tcPr>
            <w:tcW w:w="0" w:type="auto"/>
            <w:shd w:val="clear" w:color="auto" w:fill="auto"/>
            <w:vAlign w:val="center"/>
          </w:tcPr>
          <w:p>
            <w:pPr>
              <w:pStyle w:val="Normal(Web)"/>
              <w:divId w:val="44"/>
              <w:jc w:val="center"/>
              <w:rPr>
                <w:vanish w:val="0"/>
              </w:rPr>
            </w:pPr>
            <w:r>
              <w:t xml:space="preserve">29</w:t>
            </w:r>
          </w:p>
        </w:tc>
        <w:tc>
          <w:tcPr>
            <w:tcW w:w="0" w:type="auto"/>
            <w:shd w:val="clear" w:color="auto" w:fill="auto"/>
            <w:vAlign w:val="center"/>
          </w:tcPr>
          <w:p>
            <w:pPr>
              <w:pStyle w:val="Normal(Web)"/>
              <w:divId w:val="45"/>
              <w:jc w:val="center"/>
              <w:rPr>
                <w:vanish w:val="0"/>
              </w:rPr>
            </w:pPr>
            <w:r>
              <w:t xml:space="preserve">15</w:t>
            </w:r>
          </w:p>
        </w:tc>
      </w:tr>
      <w:tr>
        <w:trPr>
          <w:jc w:val="left"/>
        </w:trPr>
        <w:tc>
          <w:tcPr>
            <w:tcW w:w="0" w:type="auto"/>
            <w:shd w:val="clear" w:color="auto" w:fill="auto"/>
            <w:vAlign w:val="center"/>
          </w:tcPr>
          <w:p>
            <w:pPr>
              <w:pStyle w:val="Normal(Web)"/>
              <w:divId w:val="46"/>
              <w:jc w:val="center"/>
              <w:rPr>
                <w:vanish w:val="0"/>
              </w:rPr>
            </w:pPr>
            <w:r>
              <w:t xml:space="preserve">9836</w:t>
            </w:r>
          </w:p>
        </w:tc>
        <w:tc>
          <w:tcPr>
            <w:tcW w:w="0" w:type="auto"/>
            <w:shd w:val="clear" w:color="auto" w:fill="auto"/>
            <w:vAlign w:val="center"/>
          </w:tcPr>
          <w:p>
            <w:pPr>
              <w:pStyle w:val="Normal(Web)"/>
              <w:divId w:val="47"/>
              <w:jc w:val="center"/>
              <w:rPr>
                <w:vanish w:val="0"/>
              </w:rPr>
            </w:pPr>
            <w:r>
              <w:t xml:space="preserve">30</w:t>
            </w:r>
          </w:p>
        </w:tc>
        <w:tc>
          <w:tcPr>
            <w:tcW w:w="0" w:type="auto"/>
            <w:shd w:val="clear" w:color="auto" w:fill="auto"/>
            <w:vAlign w:val="center"/>
          </w:tcPr>
          <w:p>
            <w:pPr>
              <w:pStyle w:val="Normal(Web)"/>
              <w:divId w:val="48"/>
              <w:rPr>
                <w:vanish w:val="0"/>
              </w:rPr>
            </w:pPr>
            <w:r>
              <w:t xml:space="preserve">- - - Tổng trọng lượng có tải tối đa trên 24 tấn nhưng không quá 45 tấn:</w:t>
            </w:r>
          </w:p>
        </w:tc>
      </w:tr>
      <w:tr>
        <w:trPr>
          <w:jc w:val="left"/>
        </w:trPr>
        <w:tc>
          <w:tcPr>
            <w:tcW w:w="0" w:type="auto"/>
            <w:shd w:val="clear" w:color="auto" w:fill="auto"/>
            <w:vAlign w:val="center"/>
          </w:tcPr>
          <w:p>
            <w:pPr>
              <w:pStyle w:val="Normal(Web)"/>
              <w:divId w:val="49"/>
              <w:jc w:val="center"/>
              <w:rPr>
                <w:vanish w:val="0"/>
              </w:rPr>
            </w:pPr>
            <w:r>
              <w:t xml:space="preserve">9836</w:t>
            </w:r>
          </w:p>
        </w:tc>
        <w:tc>
          <w:tcPr>
            <w:tcW w:w="0" w:type="auto"/>
            <w:shd w:val="clear" w:color="auto" w:fill="auto"/>
            <w:vAlign w:val="center"/>
          </w:tcPr>
          <w:p>
            <w:pPr>
              <w:pStyle w:val="Normal(Web)"/>
              <w:divId w:val="50"/>
              <w:jc w:val="center"/>
              <w:rPr>
                <w:vanish w:val="0"/>
              </w:rPr>
            </w:pPr>
            <w:r>
              <w:t xml:space="preserve">30</w:t>
            </w:r>
          </w:p>
        </w:tc>
        <w:tc>
          <w:tcPr>
            <w:tcW w:w="0" w:type="auto"/>
            <w:shd w:val="clear" w:color="auto" w:fill="auto"/>
            <w:vAlign w:val="center"/>
          </w:tcPr>
          <w:p>
            <w:pPr>
              <w:pStyle w:val="Normal(Web)"/>
              <w:divId w:val="51"/>
              <w:jc w:val="center"/>
              <w:rPr>
                <w:vanish w:val="0"/>
              </w:rPr>
            </w:pPr>
            <w:r>
              <w:t xml:space="preserve">10</w:t>
            </w:r>
          </w:p>
        </w:tc>
        <w:tc>
          <w:tcPr>
            <w:tcW w:w="0" w:type="auto"/>
            <w:shd w:val="clear" w:color="auto" w:fill="auto"/>
            <w:vAlign w:val="center"/>
          </w:tcPr>
          <w:p>
            <w:pPr>
              <w:pStyle w:val="Normal(Web)"/>
              <w:divId w:val="52"/>
              <w:rPr>
                <w:vanish w:val="0"/>
              </w:rPr>
            </w:pPr>
            <w:r>
              <w:t xml:space="preserve">- - - - Xe đông lạnh</w:t>
            </w:r>
          </w:p>
        </w:tc>
        <w:tc>
          <w:tcPr>
            <w:tcW w:w="0" w:type="auto"/>
            <w:shd w:val="clear" w:color="auto" w:fill="auto"/>
            <w:vAlign w:val="center"/>
          </w:tcPr>
          <w:p>
            <w:pPr>
              <w:pStyle w:val="Normal(Web)"/>
              <w:divId w:val="53"/>
              <w:jc w:val="center"/>
              <w:rPr>
                <w:vanish w:val="0"/>
              </w:rPr>
            </w:pPr>
            <w:r>
              <w:t xml:space="preserve">8704</w:t>
            </w:r>
          </w:p>
        </w:tc>
        <w:tc>
          <w:tcPr>
            <w:tcW w:w="0" w:type="auto"/>
            <w:shd w:val="clear" w:color="auto" w:fill="auto"/>
            <w:vAlign w:val="center"/>
          </w:tcPr>
          <w:p>
            <w:pPr>
              <w:pStyle w:val="Normal(Web)"/>
              <w:divId w:val="54"/>
              <w:jc w:val="center"/>
              <w:rPr>
                <w:vanish w:val="0"/>
              </w:rPr>
            </w:pPr>
            <w:r>
              <w:t xml:space="preserve">23</w:t>
            </w:r>
          </w:p>
        </w:tc>
        <w:tc>
          <w:tcPr>
            <w:tcW w:w="0" w:type="auto"/>
            <w:shd w:val="clear" w:color="auto" w:fill="auto"/>
            <w:vAlign w:val="center"/>
          </w:tcPr>
          <w:p>
            <w:pPr>
              <w:pStyle w:val="Normal(Web)"/>
              <w:divId w:val="55"/>
              <w:jc w:val="center"/>
              <w:rPr>
                <w:vanish w:val="0"/>
              </w:rPr>
            </w:pPr>
            <w:r>
              <w:t xml:space="preserve">61</w:t>
            </w:r>
          </w:p>
        </w:tc>
        <w:tc>
          <w:tcPr>
            <w:tcW w:w="0" w:type="auto"/>
            <w:shd w:val="clear" w:color="auto" w:fill="auto"/>
            <w:vAlign w:val="center"/>
          </w:tcPr>
          <w:p>
            <w:pPr>
              <w:pStyle w:val="Normal(Web)"/>
              <w:divId w:val="56"/>
              <w:jc w:val="center"/>
              <w:rPr>
                <w:vanish w:val="0"/>
              </w:rPr>
            </w:pPr>
            <w:r>
              <w:t xml:space="preserve">15</w:t>
            </w:r>
          </w:p>
        </w:tc>
      </w:tr>
      <w:tr>
        <w:trPr>
          <w:jc w:val="left"/>
        </w:trPr>
        <w:tc>
          <w:tcPr>
            <w:tcW w:w="0" w:type="auto"/>
            <w:shd w:val="clear" w:color="auto" w:fill="auto"/>
            <w:vAlign w:val="center"/>
          </w:tcPr>
          <w:p>
            <w:pPr>
              <w:pStyle w:val="Normal(Web)"/>
              <w:divId w:val="57"/>
              <w:jc w:val="center"/>
              <w:rPr>
                <w:vanish w:val="0"/>
              </w:rPr>
            </w:pPr>
            <w:r>
              <w:t xml:space="preserve">9836</w:t>
            </w:r>
          </w:p>
        </w:tc>
        <w:tc>
          <w:tcPr>
            <w:tcW w:w="0" w:type="auto"/>
            <w:shd w:val="clear" w:color="auto" w:fill="auto"/>
            <w:vAlign w:val="center"/>
          </w:tcPr>
          <w:p>
            <w:pPr>
              <w:pStyle w:val="Normal(Web)"/>
              <w:divId w:val="58"/>
              <w:jc w:val="center"/>
              <w:rPr>
                <w:vanish w:val="0"/>
              </w:rPr>
            </w:pPr>
            <w:r>
              <w:t xml:space="preserve">30</w:t>
            </w:r>
          </w:p>
        </w:tc>
        <w:tc>
          <w:tcPr>
            <w:tcW w:w="0" w:type="auto"/>
            <w:shd w:val="clear" w:color="auto" w:fill="auto"/>
            <w:vAlign w:val="center"/>
          </w:tcPr>
          <w:p>
            <w:pPr>
              <w:pStyle w:val="Normal(Web)"/>
              <w:divId w:val="59"/>
              <w:jc w:val="center"/>
              <w:rPr>
                <w:vanish w:val="0"/>
              </w:rPr>
            </w:pPr>
            <w:r>
              <w:t xml:space="preserve">20</w:t>
            </w:r>
          </w:p>
        </w:tc>
        <w:tc>
          <w:tcPr>
            <w:tcW w:w="0" w:type="auto"/>
            <w:shd w:val="clear" w:color="auto" w:fill="auto"/>
            <w:vAlign w:val="center"/>
          </w:tcPr>
          <w:p>
            <w:pPr>
              <w:pStyle w:val="Normal(Web)"/>
              <w:divId w:val="60"/>
              <w:rPr>
                <w:vanish w:val="0"/>
              </w:rPr>
            </w:pPr>
            <w:r>
              <w:t xml:space="preserve">- - - - Xe thu gom phế thải có bộ phận nén phế thải</w:t>
            </w:r>
          </w:p>
        </w:tc>
        <w:tc>
          <w:tcPr>
            <w:tcW w:w="0" w:type="auto"/>
            <w:shd w:val="clear" w:color="auto" w:fill="auto"/>
            <w:vAlign w:val="center"/>
          </w:tcPr>
          <w:p>
            <w:pPr>
              <w:pStyle w:val="Normal(Web)"/>
              <w:divId w:val="61"/>
              <w:jc w:val="center"/>
              <w:rPr>
                <w:vanish w:val="0"/>
              </w:rPr>
            </w:pPr>
            <w:r>
              <w:t xml:space="preserve">8704</w:t>
            </w:r>
          </w:p>
        </w:tc>
        <w:tc>
          <w:tcPr>
            <w:tcW w:w="0" w:type="auto"/>
            <w:shd w:val="clear" w:color="auto" w:fill="auto"/>
            <w:vAlign w:val="center"/>
          </w:tcPr>
          <w:p>
            <w:pPr>
              <w:pStyle w:val="Normal(Web)"/>
              <w:divId w:val="62"/>
              <w:jc w:val="center"/>
              <w:rPr>
                <w:vanish w:val="0"/>
              </w:rPr>
            </w:pPr>
            <w:r>
              <w:t xml:space="preserve">23</w:t>
            </w:r>
          </w:p>
        </w:tc>
        <w:tc>
          <w:tcPr>
            <w:tcW w:w="0" w:type="auto"/>
            <w:shd w:val="clear" w:color="auto" w:fill="auto"/>
            <w:vAlign w:val="center"/>
          </w:tcPr>
          <w:p>
            <w:pPr>
              <w:pStyle w:val="Normal(Web)"/>
              <w:divId w:val="63"/>
              <w:jc w:val="center"/>
              <w:rPr>
                <w:vanish w:val="0"/>
              </w:rPr>
            </w:pPr>
            <w:r>
              <w:t xml:space="preserve">62</w:t>
            </w:r>
          </w:p>
        </w:tc>
        <w:tc>
          <w:tcPr>
            <w:tcW w:w="0" w:type="auto"/>
            <w:shd w:val="clear" w:color="auto" w:fill="auto"/>
            <w:vAlign w:val="center"/>
          </w:tcPr>
          <w:p>
            <w:pPr>
              <w:pStyle w:val="Normal(Web)"/>
              <w:divId w:val="64"/>
              <w:jc w:val="center"/>
              <w:rPr>
                <w:vanish w:val="0"/>
              </w:rPr>
            </w:pPr>
            <w:r>
              <w:t xml:space="preserve">15</w:t>
            </w:r>
          </w:p>
        </w:tc>
      </w:tr>
      <w:tr>
        <w:trPr>
          <w:jc w:val="left"/>
        </w:trPr>
        <w:tc>
          <w:tcPr>
            <w:tcW w:w="0" w:type="auto"/>
            <w:shd w:val="clear" w:color="auto" w:fill="auto"/>
            <w:vAlign w:val="center"/>
          </w:tcPr>
          <w:p>
            <w:pPr>
              <w:pStyle w:val="Normal(Web)"/>
              <w:divId w:val="65"/>
              <w:jc w:val="center"/>
              <w:rPr>
                <w:vanish w:val="0"/>
              </w:rPr>
            </w:pPr>
            <w:r>
              <w:t xml:space="preserve">9836</w:t>
            </w:r>
          </w:p>
        </w:tc>
        <w:tc>
          <w:tcPr>
            <w:tcW w:w="0" w:type="auto"/>
            <w:shd w:val="clear" w:color="auto" w:fill="auto"/>
            <w:vAlign w:val="center"/>
          </w:tcPr>
          <w:p>
            <w:pPr>
              <w:pStyle w:val="Normal(Web)"/>
              <w:divId w:val="66"/>
              <w:jc w:val="center"/>
              <w:rPr>
                <w:vanish w:val="0"/>
              </w:rPr>
            </w:pPr>
            <w:r>
              <w:t xml:space="preserve">30</w:t>
            </w:r>
          </w:p>
        </w:tc>
        <w:tc>
          <w:tcPr>
            <w:tcW w:w="0" w:type="auto"/>
            <w:shd w:val="clear" w:color="auto" w:fill="auto"/>
            <w:vAlign w:val="center"/>
          </w:tcPr>
          <w:p>
            <w:pPr>
              <w:pStyle w:val="Normal(Web)"/>
              <w:divId w:val="67"/>
              <w:jc w:val="center"/>
              <w:rPr>
                <w:vanish w:val="0"/>
              </w:rPr>
            </w:pPr>
            <w:r>
              <w:t xml:space="preserve">30</w:t>
            </w:r>
          </w:p>
        </w:tc>
        <w:tc>
          <w:tcPr>
            <w:tcW w:w="0" w:type="auto"/>
            <w:shd w:val="clear" w:color="auto" w:fill="auto"/>
            <w:vAlign w:val="center"/>
          </w:tcPr>
          <w:p>
            <w:pPr>
              <w:pStyle w:val="Normal(Web)"/>
              <w:divId w:val="68"/>
              <w:rPr>
                <w:vanish w:val="0"/>
              </w:rPr>
            </w:pPr>
            <w:r>
              <w:t xml:space="preserve">- - - - Xe xi téc; xe chở xi măng kiểu bồn</w:t>
            </w:r>
          </w:p>
        </w:tc>
        <w:tc>
          <w:tcPr>
            <w:tcW w:w="0" w:type="auto"/>
            <w:shd w:val="clear" w:color="auto" w:fill="auto"/>
            <w:vAlign w:val="center"/>
          </w:tcPr>
          <w:p>
            <w:pPr>
              <w:pStyle w:val="Normal(Web)"/>
              <w:divId w:val="69"/>
              <w:jc w:val="center"/>
              <w:rPr>
                <w:vanish w:val="0"/>
              </w:rPr>
            </w:pPr>
            <w:r>
              <w:t xml:space="preserve">8704</w:t>
            </w:r>
          </w:p>
        </w:tc>
        <w:tc>
          <w:tcPr>
            <w:tcW w:w="0" w:type="auto"/>
            <w:shd w:val="clear" w:color="auto" w:fill="auto"/>
            <w:vAlign w:val="center"/>
          </w:tcPr>
          <w:p>
            <w:pPr>
              <w:pStyle w:val="Normal(Web)"/>
              <w:divId w:val="70"/>
              <w:jc w:val="center"/>
              <w:rPr>
                <w:vanish w:val="0"/>
              </w:rPr>
            </w:pPr>
            <w:r>
              <w:t xml:space="preserve">23</w:t>
            </w:r>
          </w:p>
        </w:tc>
        <w:tc>
          <w:tcPr>
            <w:tcW w:w="0" w:type="auto"/>
            <w:shd w:val="clear" w:color="auto" w:fill="auto"/>
            <w:vAlign w:val="center"/>
          </w:tcPr>
          <w:p>
            <w:pPr>
              <w:pStyle w:val="Normal(Web)"/>
              <w:divId w:val="71"/>
              <w:jc w:val="center"/>
              <w:rPr>
                <w:vanish w:val="0"/>
              </w:rPr>
            </w:pPr>
            <w:r>
              <w:t xml:space="preserve">63</w:t>
            </w:r>
          </w:p>
        </w:tc>
        <w:tc>
          <w:tcPr>
            <w:tcW w:w="0" w:type="auto"/>
            <w:shd w:val="clear" w:color="auto" w:fill="auto"/>
            <w:vAlign w:val="center"/>
          </w:tcPr>
          <w:p>
            <w:pPr>
              <w:pStyle w:val="Normal(Web)"/>
              <w:divId w:val="72"/>
              <w:jc w:val="center"/>
              <w:rPr>
                <w:vanish w:val="0"/>
              </w:rPr>
            </w:pPr>
            <w:r>
              <w:t xml:space="preserve">15</w:t>
            </w:r>
          </w:p>
        </w:tc>
      </w:tr>
      <w:tr>
        <w:trPr>
          <w:jc w:val="left"/>
        </w:trPr>
        <w:tc>
          <w:tcPr>
            <w:tcW w:w="0" w:type="auto"/>
            <w:shd w:val="clear" w:color="auto" w:fill="auto"/>
            <w:vAlign w:val="center"/>
          </w:tcPr>
          <w:p>
            <w:pPr>
              <w:pStyle w:val="Normal(Web)"/>
              <w:divId w:val="73"/>
              <w:jc w:val="center"/>
              <w:rPr>
                <w:vanish w:val="0"/>
              </w:rPr>
            </w:pPr>
            <w:r>
              <w:t xml:space="preserve">9836</w:t>
            </w:r>
          </w:p>
        </w:tc>
        <w:tc>
          <w:tcPr>
            <w:tcW w:w="0" w:type="auto"/>
            <w:shd w:val="clear" w:color="auto" w:fill="auto"/>
            <w:vAlign w:val="center"/>
          </w:tcPr>
          <w:p>
            <w:pPr>
              <w:pStyle w:val="Normal(Web)"/>
              <w:divId w:val="74"/>
              <w:jc w:val="center"/>
              <w:rPr>
                <w:vanish w:val="0"/>
              </w:rPr>
            </w:pPr>
            <w:r>
              <w:t xml:space="preserve">30</w:t>
            </w:r>
          </w:p>
        </w:tc>
        <w:tc>
          <w:tcPr>
            <w:tcW w:w="0" w:type="auto"/>
            <w:shd w:val="clear" w:color="auto" w:fill="auto"/>
            <w:vAlign w:val="center"/>
          </w:tcPr>
          <w:p>
            <w:pPr>
              <w:pStyle w:val="Normal(Web)"/>
              <w:divId w:val="75"/>
              <w:jc w:val="center"/>
              <w:rPr>
                <w:vanish w:val="0"/>
              </w:rPr>
            </w:pPr>
            <w:r>
              <w:t xml:space="preserve">90</w:t>
            </w:r>
          </w:p>
        </w:tc>
        <w:tc>
          <w:tcPr>
            <w:tcW w:w="0" w:type="auto"/>
            <w:shd w:val="clear" w:color="auto" w:fill="auto"/>
            <w:vAlign w:val="center"/>
          </w:tcPr>
          <w:p>
            <w:pPr>
              <w:pStyle w:val="Normal(Web)"/>
              <w:divId w:val="76"/>
              <w:rPr>
                <w:vanish w:val="0"/>
              </w:rPr>
            </w:pPr>
            <w:r>
              <w:t xml:space="preserve">- - - - Loại khác</w:t>
            </w:r>
          </w:p>
        </w:tc>
        <w:tc>
          <w:tcPr>
            <w:tcW w:w="0" w:type="auto"/>
            <w:shd w:val="clear" w:color="auto" w:fill="auto"/>
            <w:vAlign w:val="center"/>
          </w:tcPr>
          <w:p>
            <w:pPr>
              <w:pStyle w:val="Normal(Web)"/>
              <w:divId w:val="77"/>
              <w:jc w:val="center"/>
              <w:rPr>
                <w:vanish w:val="0"/>
              </w:rPr>
            </w:pPr>
            <w:r>
              <w:t xml:space="preserve">8704</w:t>
            </w:r>
          </w:p>
        </w:tc>
        <w:tc>
          <w:tcPr>
            <w:tcW w:w="0" w:type="auto"/>
            <w:shd w:val="clear" w:color="auto" w:fill="auto"/>
            <w:vAlign w:val="center"/>
          </w:tcPr>
          <w:p>
            <w:pPr>
              <w:pStyle w:val="Normal(Web)"/>
              <w:divId w:val="78"/>
              <w:jc w:val="center"/>
              <w:rPr>
                <w:vanish w:val="0"/>
              </w:rPr>
            </w:pPr>
            <w:r>
              <w:t xml:space="preserve">23</w:t>
            </w:r>
          </w:p>
        </w:tc>
        <w:tc>
          <w:tcPr>
            <w:tcW w:w="0" w:type="auto"/>
            <w:shd w:val="clear" w:color="auto" w:fill="auto"/>
            <w:vAlign w:val="center"/>
          </w:tcPr>
          <w:p>
            <w:pPr>
              <w:pStyle w:val="Normal(Web)"/>
              <w:divId w:val="79"/>
              <w:jc w:val="center"/>
              <w:rPr>
                <w:vanish w:val="0"/>
              </w:rPr>
            </w:pPr>
            <w:r>
              <w:t xml:space="preserve">69</w:t>
            </w:r>
          </w:p>
        </w:tc>
        <w:tc>
          <w:tcPr>
            <w:tcW w:w="0" w:type="auto"/>
            <w:shd w:val="clear" w:color="auto" w:fill="auto"/>
            <w:vAlign w:val="center"/>
          </w:tcPr>
          <w:p>
            <w:pPr>
              <w:pStyle w:val="Normal(Web)"/>
              <w:divId w:val="80"/>
              <w:jc w:val="center"/>
              <w:rPr>
                <w:vanish w:val="0"/>
              </w:rPr>
            </w:pPr>
            <w:r>
              <w:t xml:space="preserve">15</w:t>
            </w:r>
          </w:p>
        </w:tc>
      </w:tr>
      <w:tr>
        <w:trPr>
          <w:jc w:val="left"/>
        </w:trPr>
        <w:tc>
          <w:tcPr>
            <w:tcW w:w="0" w:type="auto"/>
            <w:shd w:val="clear" w:color="auto" w:fill="auto"/>
            <w:vAlign w:val="center"/>
          </w:tcPr>
          <w:p>
            <w:pPr>
              <w:pStyle w:val="Normal(Web)"/>
              <w:divId w:val="81"/>
              <w:rPr>
                <w:vanish w:val="0"/>
              </w:rPr>
            </w:pPr>
            <w:r>
              <w:t xml:space="preserve">- - Của loại khác, có động cơ đốt trong kiểu piston đốt cháy bằng tia lửa điện:</w:t>
            </w:r>
          </w:p>
        </w:tc>
      </w:tr>
      <w:tr>
        <w:trPr>
          <w:jc w:val="left"/>
        </w:trPr>
        <w:tc>
          <w:tcPr>
            <w:tcW w:w="0" w:type="auto"/>
            <w:shd w:val="clear" w:color="auto" w:fill="auto"/>
            <w:vAlign w:val="center"/>
          </w:tcPr>
          <w:p>
            <w:pPr>
              <w:pStyle w:val="Normal(Web)"/>
              <w:divId w:val="82"/>
              <w:jc w:val="center"/>
              <w:rPr>
                <w:vanish w:val="0"/>
              </w:rPr>
            </w:pPr>
            <w:r>
              <w:t xml:space="preserve">9836</w:t>
            </w:r>
          </w:p>
        </w:tc>
        <w:tc>
          <w:tcPr>
            <w:tcW w:w="0" w:type="auto"/>
            <w:shd w:val="clear" w:color="auto" w:fill="auto"/>
            <w:vAlign w:val="center"/>
          </w:tcPr>
          <w:p>
            <w:pPr>
              <w:pStyle w:val="Normal(Web)"/>
              <w:divId w:val="83"/>
              <w:jc w:val="center"/>
              <w:rPr>
                <w:vanish w:val="0"/>
              </w:rPr>
            </w:pPr>
            <w:r>
              <w:t xml:space="preserve">40</w:t>
            </w:r>
          </w:p>
        </w:tc>
        <w:tc>
          <w:tcPr>
            <w:tcW w:w="0" w:type="auto"/>
            <w:shd w:val="clear" w:color="auto" w:fill="auto"/>
            <w:vAlign w:val="center"/>
          </w:tcPr>
          <w:p>
            <w:pPr>
              <w:pStyle w:val="Normal(Web)"/>
              <w:divId w:val="84"/>
              <w:rPr>
                <w:vanish w:val="0"/>
              </w:rPr>
            </w:pPr>
            <w:r>
              <w:t xml:space="preserve">- - - </w:t>
            </w:r>
            <w:r>
              <w:t xml:space="preserve">Tổng</w:t>
            </w:r>
            <w:r>
              <w:t xml:space="preserve"> trọng lượng có tải tối đa trên 20 tấn nhưng không quá 24 tấn</w:t>
            </w:r>
          </w:p>
        </w:tc>
      </w:tr>
      <w:tr>
        <w:trPr>
          <w:jc w:val="left"/>
        </w:trPr>
        <w:tc>
          <w:tcPr>
            <w:tcW w:w="0" w:type="auto"/>
            <w:shd w:val="clear" w:color="auto" w:fill="auto"/>
            <w:vAlign w:val="center"/>
          </w:tcPr>
          <w:p>
            <w:pPr>
              <w:pStyle w:val="Normal(Web)"/>
              <w:divId w:val="85"/>
              <w:jc w:val="center"/>
              <w:rPr>
                <w:vanish w:val="0"/>
              </w:rPr>
            </w:pPr>
            <w:r>
              <w:t xml:space="preserve">9836</w:t>
            </w:r>
          </w:p>
        </w:tc>
        <w:tc>
          <w:tcPr>
            <w:tcW w:w="0" w:type="auto"/>
            <w:shd w:val="clear" w:color="auto" w:fill="auto"/>
            <w:vAlign w:val="center"/>
          </w:tcPr>
          <w:p>
            <w:pPr>
              <w:pStyle w:val="Normal(Web)"/>
              <w:divId w:val="86"/>
              <w:jc w:val="center"/>
              <w:rPr>
                <w:vanish w:val="0"/>
              </w:rPr>
            </w:pPr>
            <w:r>
              <w:t xml:space="preserve">40</w:t>
            </w:r>
          </w:p>
        </w:tc>
        <w:tc>
          <w:tcPr>
            <w:tcW w:w="0" w:type="auto"/>
            <w:shd w:val="clear" w:color="auto" w:fill="auto"/>
            <w:vAlign w:val="center"/>
          </w:tcPr>
          <w:p>
            <w:pPr>
              <w:pStyle w:val="Normal(Web)"/>
              <w:divId w:val="87"/>
              <w:jc w:val="center"/>
              <w:rPr>
                <w:vanish w:val="0"/>
              </w:rPr>
            </w:pPr>
            <w:r>
              <w:t xml:space="preserve">10</w:t>
            </w:r>
          </w:p>
        </w:tc>
        <w:tc>
          <w:tcPr>
            <w:tcW w:w="0" w:type="auto"/>
            <w:shd w:val="clear" w:color="auto" w:fill="auto"/>
            <w:vAlign w:val="center"/>
          </w:tcPr>
          <w:p>
            <w:pPr>
              <w:pStyle w:val="Normal(Web)"/>
              <w:divId w:val="88"/>
              <w:rPr>
                <w:vanish w:val="0"/>
              </w:rPr>
            </w:pPr>
            <w:r>
              <w:t xml:space="preserve">- - - - Xe xi téc; xe chở xi măng kiểu bồn</w:t>
            </w:r>
          </w:p>
        </w:tc>
        <w:tc>
          <w:tcPr>
            <w:tcW w:w="0" w:type="auto"/>
            <w:shd w:val="clear" w:color="auto" w:fill="auto"/>
            <w:vAlign w:val="center"/>
          </w:tcPr>
          <w:p>
            <w:pPr>
              <w:pStyle w:val="Normal(Web)"/>
              <w:divId w:val="89"/>
              <w:jc w:val="center"/>
              <w:rPr>
                <w:vanish w:val="0"/>
              </w:rPr>
            </w:pPr>
            <w:r>
              <w:t xml:space="preserve">8704</w:t>
            </w:r>
          </w:p>
        </w:tc>
        <w:tc>
          <w:tcPr>
            <w:tcW w:w="0" w:type="auto"/>
            <w:shd w:val="clear" w:color="auto" w:fill="auto"/>
            <w:vAlign w:val="center"/>
          </w:tcPr>
          <w:p>
            <w:pPr>
              <w:pStyle w:val="Normal(Web)"/>
              <w:divId w:val="90"/>
              <w:jc w:val="center"/>
              <w:rPr>
                <w:vanish w:val="0"/>
              </w:rPr>
            </w:pPr>
            <w:r>
              <w:t xml:space="preserve">32</w:t>
            </w:r>
          </w:p>
        </w:tc>
        <w:tc>
          <w:tcPr>
            <w:tcW w:w="0" w:type="auto"/>
            <w:shd w:val="clear" w:color="auto" w:fill="auto"/>
            <w:vAlign w:val="center"/>
          </w:tcPr>
          <w:p>
            <w:pPr>
              <w:pStyle w:val="Normal(Web)"/>
              <w:divId w:val="91"/>
              <w:jc w:val="center"/>
              <w:rPr>
                <w:vanish w:val="0"/>
              </w:rPr>
            </w:pPr>
            <w:r>
              <w:t xml:space="preserve">63</w:t>
            </w:r>
          </w:p>
        </w:tc>
        <w:tc>
          <w:tcPr>
            <w:tcW w:w="0" w:type="auto"/>
            <w:shd w:val="clear" w:color="auto" w:fill="auto"/>
            <w:vAlign w:val="center"/>
          </w:tcPr>
          <w:p>
            <w:pPr>
              <w:pStyle w:val="Normal(Web)"/>
              <w:divId w:val="92"/>
              <w:jc w:val="center"/>
              <w:rPr>
                <w:vanish w:val="0"/>
              </w:rPr>
            </w:pPr>
            <w:r>
              <w:t xml:space="preserve">15</w:t>
            </w:r>
          </w:p>
        </w:tc>
      </w:tr>
      <w:tr>
        <w:trPr>
          <w:jc w:val="left"/>
        </w:trPr>
        <w:tc>
          <w:tcPr>
            <w:tcW w:w="0" w:type="auto"/>
            <w:shd w:val="clear" w:color="auto" w:fill="auto"/>
            <w:vAlign w:val="center"/>
          </w:tcPr>
          <w:p>
            <w:pPr>
              <w:pStyle w:val="Normal(Web)"/>
              <w:divId w:val="93"/>
              <w:jc w:val="center"/>
              <w:rPr>
                <w:vanish w:val="0"/>
              </w:rPr>
            </w:pPr>
            <w:r>
              <w:t xml:space="preserve">9836</w:t>
            </w:r>
          </w:p>
        </w:tc>
        <w:tc>
          <w:tcPr>
            <w:tcW w:w="0" w:type="auto"/>
            <w:shd w:val="clear" w:color="auto" w:fill="auto"/>
            <w:vAlign w:val="center"/>
          </w:tcPr>
          <w:p>
            <w:pPr>
              <w:pStyle w:val="Normal(Web)"/>
              <w:divId w:val="94"/>
              <w:jc w:val="center"/>
              <w:rPr>
                <w:vanish w:val="0"/>
              </w:rPr>
            </w:pPr>
            <w:r>
              <w:t xml:space="preserve">40</w:t>
            </w:r>
          </w:p>
        </w:tc>
        <w:tc>
          <w:tcPr>
            <w:tcW w:w="0" w:type="auto"/>
            <w:shd w:val="clear" w:color="auto" w:fill="auto"/>
            <w:vAlign w:val="center"/>
          </w:tcPr>
          <w:p>
            <w:pPr>
              <w:pStyle w:val="Normal(Web)"/>
              <w:divId w:val="95"/>
              <w:jc w:val="center"/>
              <w:rPr>
                <w:vanish w:val="0"/>
              </w:rPr>
            </w:pPr>
            <w:r>
              <w:t xml:space="preserve">90</w:t>
            </w:r>
          </w:p>
        </w:tc>
        <w:tc>
          <w:tcPr>
            <w:tcW w:w="0" w:type="auto"/>
            <w:shd w:val="clear" w:color="auto" w:fill="auto"/>
            <w:vAlign w:val="center"/>
          </w:tcPr>
          <w:p>
            <w:pPr>
              <w:pStyle w:val="Normal(Web)"/>
              <w:divId w:val="96"/>
              <w:rPr>
                <w:vanish w:val="0"/>
              </w:rPr>
            </w:pPr>
            <w:r>
              <w:t xml:space="preserve">- - - - Loại khác</w:t>
            </w:r>
          </w:p>
        </w:tc>
        <w:tc>
          <w:tcPr>
            <w:tcW w:w="0" w:type="auto"/>
            <w:shd w:val="clear" w:color="auto" w:fill="auto"/>
            <w:vAlign w:val="center"/>
          </w:tcPr>
          <w:p>
            <w:pPr>
              <w:pStyle w:val="Normal(Web)"/>
              <w:divId w:val="97"/>
              <w:jc w:val="center"/>
              <w:rPr>
                <w:vanish w:val="0"/>
              </w:rPr>
            </w:pPr>
            <w:r>
              <w:t xml:space="preserve">8704</w:t>
            </w:r>
          </w:p>
        </w:tc>
        <w:tc>
          <w:tcPr>
            <w:tcW w:w="0" w:type="auto"/>
            <w:shd w:val="clear" w:color="auto" w:fill="auto"/>
            <w:vAlign w:val="center"/>
          </w:tcPr>
          <w:p>
            <w:pPr>
              <w:pStyle w:val="Normal(Web)"/>
              <w:divId w:val="98"/>
              <w:jc w:val="center"/>
              <w:rPr>
                <w:vanish w:val="0"/>
              </w:rPr>
            </w:pPr>
            <w:r>
              <w:t xml:space="preserve">32</w:t>
            </w:r>
          </w:p>
        </w:tc>
        <w:tc>
          <w:tcPr>
            <w:tcW w:w="0" w:type="auto"/>
            <w:shd w:val="clear" w:color="auto" w:fill="auto"/>
            <w:vAlign w:val="center"/>
          </w:tcPr>
          <w:p>
            <w:pPr>
              <w:pStyle w:val="Normal(Web)"/>
              <w:divId w:val="99"/>
              <w:jc w:val="center"/>
              <w:rPr>
                <w:vanish w:val="0"/>
              </w:rPr>
            </w:pPr>
            <w:r>
              <w:t xml:space="preserve">69</w:t>
            </w:r>
          </w:p>
        </w:tc>
        <w:tc>
          <w:tcPr>
            <w:tcW w:w="0" w:type="auto"/>
            <w:shd w:val="clear" w:color="auto" w:fill="auto"/>
            <w:vAlign w:val="center"/>
          </w:tcPr>
          <w:p>
            <w:pPr>
              <w:pStyle w:val="Normal(Web)"/>
              <w:divId w:val="100"/>
              <w:jc w:val="center"/>
              <w:rPr>
                <w:vanish w:val="0"/>
              </w:rPr>
            </w:pPr>
            <w:r>
              <w:t xml:space="preserve">15</w:t>
            </w:r>
          </w:p>
        </w:tc>
      </w:tr>
    </w:tbl>
    <w:p>
      <w:pPr>
        <w:pStyle w:val="Normal(Web)"/>
        <w:divId w:val="101"/>
        <w:rPr>
          <w:vanish w:val="0"/>
        </w:rPr>
      </w:pPr>
      <w:r>
        <w:rPr>
          <w:b/>
        </w:rPr>
        <w:t xml:space="preserve">Điều 3. Hiệu lực thi hành</w:t>
      </w:r>
    </w:p>
    <w:p>
      <w:pPr>
        <w:pStyle w:val="Normal(Web)"/>
        <w:divId w:val="102"/>
        <w:rPr>
          <w:vanish w:val="0"/>
        </w:rPr>
      </w:pPr>
      <w:r>
        <w:t xml:space="preserve">Thông tư này có hiệu lực thi hành kể từ ngày 11 tháng 10 năm 2014./.</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03"/>
              <w:rPr>
                <w:vanish w:val="0"/>
              </w:rPr>
            </w:pPr>
            <w:r>
              <w:rPr>
                <w:b/>
                <w:i/>
              </w:rPr>
              <w:t xml:space="preserve">Nơi nhận:</w:t>
            </w:r>
            <w:r>
              <w:rPr>
                <w:b/>
                <w:i/>
              </w:rPr>
              <w:br/>
            </w:r>
            <w:r>
              <w:rPr>
                <w:b/>
                <w:i/>
              </w:rPr>
              <w:t xml:space="preserve"> </w:t>
            </w:r>
            <w:r>
              <w:t xml:space="preserve">- Thủ tướng và các Phó Thủ tướng Chính phủ;</w:t>
            </w:r>
            <w:r>
              <w:rPr/>
              <w:br/>
            </w:r>
            <w:r>
              <w:t xml:space="preserve">- Văn phòng TW và các Ban của Đảng;</w:t>
            </w:r>
            <w:r>
              <w:rPr/>
              <w:br/>
            </w:r>
            <w:r>
              <w:t xml:space="preserve">- Văn phòng Quốc hội;</w:t>
            </w:r>
            <w:r>
              <w:rPr/>
              <w:br/>
            </w:r>
            <w:r>
              <w:t xml:space="preserve">- Văn phòng Tổng Bí thư;</w:t>
            </w:r>
            <w:r>
              <w:rPr/>
              <w:br/>
            </w:r>
            <w:r>
              <w:t xml:space="preserve">- Văn phòng Chủ tịch nước;</w:t>
            </w:r>
            <w:r>
              <w:rPr/>
              <w:br/>
            </w:r>
            <w:r>
              <w:t xml:space="preserve">- Viện kiểm sát NDTC, Tòa án NDTC;</w:t>
            </w:r>
            <w:r>
              <w:rPr/>
              <w:br/>
            </w:r>
            <w:r>
              <w:t xml:space="preserve">- Kiểm toán Nhà nước;</w:t>
            </w:r>
            <w:r>
              <w:rPr/>
              <w:br/>
            </w:r>
            <w:r>
              <w:t xml:space="preserve">- Các Bộ, cơ quan ngang Bộ, cơ quan thuộc CP;</w:t>
            </w:r>
            <w:r>
              <w:rPr/>
              <w:br/>
            </w:r>
            <w:r>
              <w:t xml:space="preserve">- UBND tỉnh, thành phố trực thuộc TW;</w:t>
            </w:r>
            <w:r>
              <w:rPr/>
              <w:br/>
            </w:r>
            <w:r>
              <w:t xml:space="preserve">- VP BCĐ TƯ về phòng, chống tham nhũng;</w:t>
            </w:r>
            <w:r>
              <w:rPr/>
              <w:br/>
            </w:r>
            <w:r>
              <w:t xml:space="preserve">- Cục Kiểm tra văn bản (Bộ Tư pháp);</w:t>
            </w:r>
            <w:r>
              <w:rPr/>
              <w:br/>
            </w:r>
            <w:r>
              <w:t xml:space="preserve">- Các đơn vị thuộc và trực thuộc Bộ Tài chính;</w:t>
            </w:r>
            <w:r>
              <w:rPr/>
              <w:br/>
            </w:r>
            <w:r>
              <w:t xml:space="preserve">- Cục Hải quan tỉnh, thành phố;</w:t>
            </w:r>
            <w:r>
              <w:rPr/>
              <w:br/>
            </w:r>
            <w:r>
              <w:t xml:space="preserve">- Công báo;</w:t>
            </w:r>
            <w:r>
              <w:rPr/>
              <w:br/>
            </w:r>
            <w:r>
              <w:t xml:space="preserve">- Website Chính phủ và Website Bộ Tài chính;</w:t>
            </w:r>
            <w:r>
              <w:rPr/>
              <w:br/>
            </w:r>
            <w:r>
              <w:t xml:space="preserve">- Lưu: VT, Vụ CST.</w:t>
            </w:r>
          </w:p>
        </w:tc>
        <w:tc>
          <w:tcPr>
            <w:tcW w:w="0" w:type="auto"/>
            <w:shd w:val="clear" w:color="auto" w:fill="auto"/>
            <w:vAlign w:val="center"/>
          </w:tcPr>
          <w:p>
            <w:pPr>
              <w:pStyle w:val="Normal(Web)"/>
              <w:divId w:val="104"/>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22-2014-tt-btc.aspx" TargetMode="External" /><Relationship Id="rId4" Type="http://schemas.openxmlformats.org/officeDocument/2006/relationships/hyperlink" Target="/thong-tu-so-164-2013-tt-btc-cua-bo-tai-chinh---ban-hanh-bieu-thue-xuat-khau--bieu-thue-nhap-khau-uu-dai-theo-danh-muc-mat-hang-chiu-thu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2022-06-21T17:30:22Z</dcterms:created>
  <dcterms:modified xsi:type="dcterms:W3CDTF">2022-06-21T17:30:22Z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2022-06-21T17:30:22Z</dcterms:created>
  <dcterms:modified xsi:type="dcterms:W3CDTF">2022-06-21T17:30:22Z</dcterms:modified>
</cp:coreProperties>
</file>