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106/2014/TT-BTC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08 tháng 08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MỨC THU, CHẾ ĐỘ THU, NỘP, QUẢN LÝ VÀ SỬ DỤNG PHÍ THẨM ĐỊNH HỒ SƠ </w:t>
      </w:r>
    </w:p>
    <w:p>
      <w:pPr>
        <w:pStyle w:val="Normal(Web)"/>
        <w:divId w:val="7"/>
        <w:jc w:val="center"/>
        <w:rPr>
          <w:vanish w:val="0"/>
        </w:rPr>
      </w:pPr>
      <w:r>
        <w:rPr>
          <w:b/>
        </w:rPr>
        <w:t xml:space="preserve">CẤP GIẤY XÁC NHẬN THỰC VẬT BIẾN ĐỔI GEN ĐỦ ĐIỀU KIỆN SỬ DỤNG LÀM THỰC PHẨM, THỨC ĂN CHĂN NUÔI</w:t>
      </w:r>
    </w:p>
    <w:p>
      <w:pPr>
        <w:pStyle w:val="Normal(Web)"/>
        <w:divId w:val="8"/>
        <w:rPr>
          <w:vanish w:val="0"/>
        </w:rPr>
      </w:pPr>
      <w:r>
        <w:rPr>
          <w:i/>
        </w:rPr>
        <w:t xml:space="preserve">Căn cứ Pháp lệnh Phí và lệ phí số 38/2001/PL-UBTVQH10 ngày 28/8/2001;</w:t>
      </w:r>
    </w:p>
    <w:p>
      <w:pPr>
        <w:pStyle w:val="Normal(Web)"/>
        <w:divId w:val="9"/>
        <w:rPr>
          <w:vanish w:val="0"/>
        </w:rPr>
      </w:pPr>
      <w:r>
        <w:rPr>
          <w:i/>
        </w:rPr>
        <w:t xml:space="preserve">Căn cứ Nghị định số </w:t>
      </w:r>
      <w:hyperlink r:id="rId4" w:history="1">
        <w:r>
          <w:rPr>
            <w:rStyle w:val="Hyperlink"/>
            <w:i/>
          </w:rPr>
          <w:t xml:space="preserve">57/2002/NĐ-CP </w:t>
        </w:r>
      </w:hyperlink>
      <w:r>
        <w:rPr>
          <w:i/>
        </w:rPr>
        <w:t xml:space="preserve"> ngày 03/6/2002 và Nghị định số 24/2006/NĐ-CP ngày 06/3/2006 của Chính phủ quy định chi tiết thi hành Pháp lệnh Phí và lệ phí;</w:t>
      </w:r>
    </w:p>
    <w:p>
      <w:pPr>
        <w:pStyle w:val="Normal(Web)"/>
        <w:divId w:val="10"/>
        <w:rPr>
          <w:vanish w:val="0"/>
        </w:rPr>
      </w:pPr>
      <w:r>
        <w:rPr>
          <w:i/>
        </w:rPr>
        <w:t xml:space="preserve">Căn cứ Nghị định số </w:t>
      </w:r>
      <w:hyperlink r:id="rId5" w:history="1">
        <w:r>
          <w:rPr>
            <w:rStyle w:val="Hyperlink"/>
            <w:i/>
          </w:rPr>
          <w:t xml:space="preserve">69/2010/NĐ-CP </w:t>
        </w:r>
      </w:hyperlink>
      <w:r>
        <w:rPr>
          <w:i/>
        </w:rPr>
        <w:t xml:space="preserve"> ngày 21/6/2010 và Nghị định số 108/2011/NĐ-CP ngày 30/11/2011 của Chính phủ về an toàn sinh học với sinh vật biến đổi gen, mẫu vật di truyền và sản phẩm của sinh vật biến đổi gen;</w:t>
      </w:r>
    </w:p>
    <w:p>
      <w:pPr>
        <w:pStyle w:val="Normal(Web)"/>
        <w:divId w:val="11"/>
        <w:rPr>
          <w:vanish w:val="0"/>
        </w:rPr>
      </w:pPr>
      <w:r>
        <w:rPr>
          <w:i/>
        </w:rPr>
        <w:t xml:space="preserve">Căn cứ Nghị định số </w:t>
      </w:r>
      <w:hyperlink r:id="rId6"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12"/>
        <w:rPr>
          <w:vanish w:val="0"/>
        </w:rPr>
      </w:pPr>
      <w:r>
        <w:rPr>
          <w:i/>
        </w:rPr>
        <w:t xml:space="preserve">Theo đề nghị của Vụ trưởng Vụ Chính sách Thuế,</w:t>
      </w:r>
    </w:p>
    <w:p>
      <w:pPr>
        <w:pStyle w:val="Normal(Web)"/>
        <w:divId w:val="13"/>
        <w:rPr>
          <w:vanish w:val="0"/>
        </w:rPr>
      </w:pPr>
      <w:r>
        <w:rPr>
          <w:i/>
        </w:rPr>
        <w:t xml:space="preserve">Bộ trưởng Bộ Tài chính ban hành Thông tư quy định mức thu, chế độ thu, nộp, quản lý và sử dụng phí thẩm định hồ sơ cấp Giấy xác nhận thực vật biến đổi gen đủ điều kiện sử dụng làm thực phẩm, thức ăn chăn nuôi như sau:</w:t>
      </w:r>
    </w:p>
    <w:p>
      <w:pPr>
        <w:pStyle w:val="Normal(Web)"/>
        <w:divId w:val="14"/>
        <w:rPr>
          <w:vanish w:val="0"/>
        </w:rPr>
      </w:pPr>
      <w:r>
        <w:rPr>
          <w:b/>
        </w:rPr>
        <w:t xml:space="preserve">Điều 1. Đối tượng nộp phí</w:t>
      </w:r>
    </w:p>
    <w:p>
      <w:pPr>
        <w:pStyle w:val="Normal(Web)"/>
        <w:divId w:val="15"/>
        <w:rPr>
          <w:vanish w:val="0"/>
        </w:rPr>
      </w:pPr>
      <w:r>
        <w:t xml:space="preserve">Tổ chức, cá nhân đăng ký cấp Giấy xác nhận thực vật biến đổi gen đủ điều kiện sử dụng làm thực phẩm, thức ăn chăn nuôi phải nộp phí thẩm định hồ sơ cấp Giấy xác nhận thực vật biến đổi gen đủ điều kiện sử dụng làm thực phẩm, thức ăn chăn nuôi theo quy định tại Thông tư này.</w:t>
      </w:r>
    </w:p>
    <w:p>
      <w:pPr>
        <w:pStyle w:val="Normal(Web)"/>
        <w:divId w:val="16"/>
        <w:rPr>
          <w:vanish w:val="0"/>
        </w:rPr>
      </w:pPr>
      <w:r>
        <w:rPr>
          <w:b/>
        </w:rPr>
        <w:t xml:space="preserve">Điều 2. Cơ quan thu phí</w:t>
      </w:r>
    </w:p>
    <w:p>
      <w:pPr>
        <w:pStyle w:val="Normal(Web)"/>
        <w:divId w:val="17"/>
        <w:rPr>
          <w:vanish w:val="0"/>
        </w:rPr>
      </w:pPr>
      <w:r>
        <w:t xml:space="preserve">Đơn vị được Bộ Nông nghiệp và Phát triển nông thôn giao nhiệm vụ tổ chức thẩm định, thu phí có trách nhiệm tổ chức thu, nộp, quản lý và sử dụng phí thẩm định hồ sơ cấp Giấy xác nhận thực vật biến đổi gen đủ điều kiện sử dụng làm thực phẩm, thức ăn chăn nuôi theo quy định tại Thông tư này.</w:t>
      </w:r>
    </w:p>
    <w:p>
      <w:pPr>
        <w:pStyle w:val="Normal(Web)"/>
        <w:divId w:val="18"/>
        <w:rPr>
          <w:vanish w:val="0"/>
        </w:rPr>
      </w:pPr>
      <w:r>
        <w:rPr>
          <w:b/>
        </w:rPr>
        <w:t xml:space="preserve">Điều 3. Thời hạn nộp phí</w:t>
      </w:r>
    </w:p>
    <w:p>
      <w:pPr>
        <w:pStyle w:val="Normal(Web)"/>
        <w:divId w:val="19"/>
        <w:rPr>
          <w:vanish w:val="0"/>
        </w:rPr>
      </w:pPr>
      <w:r>
        <w:t xml:space="preserve">Thời hạn nộp phí thẩm định hồ sơ cấp Giấy xác nhận thực vật biến đổi gen đủ điều kiện sử dụng làm thực phẩm, thức ăn chăn nuôi chậm nhất là năm (05) ngày, kể từ khi nhận được thông báo bằng văn bản của cơ quan tiếp nhận hồ sơ chấp nhận hồ sơ đăng ký là hợp lệ.</w:t>
      </w:r>
    </w:p>
    <w:p>
      <w:pPr>
        <w:pStyle w:val="Normal(Web)"/>
        <w:divId w:val="20"/>
        <w:rPr>
          <w:vanish w:val="0"/>
        </w:rPr>
      </w:pPr>
      <w:r>
        <w:rPr>
          <w:b/>
        </w:rPr>
        <w:t xml:space="preserve">Điều 4. Mức thu phí</w:t>
      </w:r>
    </w:p>
    <w:p>
      <w:pPr>
        <w:pStyle w:val="Normal(Web)"/>
        <w:divId w:val="21"/>
        <w:rPr>
          <w:vanish w:val="0"/>
        </w:rPr>
      </w:pPr>
      <w:r>
        <w:t xml:space="preserve">1. Mức thu phí thẩm định hồ sơ cấp Giấy xác nhận thực vật biến đổi gen đủ điều kiện sử dụng làm thực phẩm, thức ăn chăn nuôi là 120.000.000 đồng/01 lần thẩm định.</w:t>
      </w:r>
    </w:p>
    <w:p>
      <w:pPr>
        <w:pStyle w:val="Normal(Web)"/>
        <w:divId w:val="22"/>
        <w:rPr>
          <w:vanish w:val="0"/>
        </w:rPr>
      </w:pPr>
      <w:r>
        <w:t xml:space="preserve">2. Phí thẩm định hồ sơ cấp Giấy xác nhận thực vật biến đổi gen đủ điều kiện sử dụng làm thực phẩm, thức ăn chăn nuôi thu bằng Đồng Việt Nam.</w:t>
      </w:r>
    </w:p>
    <w:p>
      <w:pPr>
        <w:pStyle w:val="Normal(Web)"/>
        <w:divId w:val="23"/>
        <w:rPr>
          <w:vanish w:val="0"/>
        </w:rPr>
      </w:pPr>
      <w:r>
        <w:rPr>
          <w:b/>
        </w:rPr>
        <w:t xml:space="preserve">Điều 5. Tổ chức thu, nộp, quản lý và sử dụng phí</w:t>
      </w:r>
    </w:p>
    <w:p>
      <w:pPr>
        <w:pStyle w:val="Normal(Web)"/>
        <w:divId w:val="24"/>
        <w:rPr>
          <w:vanish w:val="0"/>
        </w:rPr>
      </w:pPr>
      <w:r>
        <w:t xml:space="preserve">1. Phí thẩm định hồ sơ cấp Giấy xác nhận thực vật biến đổi gen đủ điều kiện sử dụng làm thực phẩm, thức ăn chăn nuôi là khoản thu thuộc ngân sách nhà nước.</w:t>
      </w:r>
    </w:p>
    <w:p>
      <w:pPr>
        <w:pStyle w:val="Normal(Web)"/>
        <w:divId w:val="25"/>
        <w:rPr>
          <w:vanish w:val="0"/>
        </w:rPr>
      </w:pPr>
      <w:r>
        <w:t xml:space="preserve">2. Cơ quan thu phí được để lại 90% (chín mươi phần trăm) số tiền phí thu được để trang trải chi phí cho công tác thẩm định và thu phí, theo các nội dung sau:</w:t>
      </w:r>
    </w:p>
    <w:p>
      <w:pPr>
        <w:pStyle w:val="Normal(Web)"/>
        <w:divId w:val="26"/>
        <w:rPr>
          <w:vanish w:val="0"/>
        </w:rPr>
      </w:pPr>
      <w:r>
        <w:t xml:space="preserve">a) Chi thanh toán cho cá nhân trực tiếp thực hiện công tác thẩm định và thu phí: tiền lương, tiền công, phụ cấp lương, các khoản đóng góp theo quy định được tính trên tiền lương (bảo hiểm y tế, bảo hiểm xã hội, bảo hiểm thất nghiệp và công đoàn phí); trừ chi phí tiền lương cho cán bộ, công chức đã hưởng lương từ ngân sách nhà nước theo chế độ quy định;</w:t>
      </w:r>
    </w:p>
    <w:p>
      <w:pPr>
        <w:pStyle w:val="Normal(Web)"/>
        <w:divId w:val="27"/>
        <w:rPr>
          <w:vanish w:val="0"/>
        </w:rPr>
      </w:pPr>
      <w:r>
        <w:t xml:space="preserve">b) Chi phí phục vụ trực tiếp cho việc thực hiện công tác thẩm định và thu phí như: văn phòng phẩm, vật tư văn phòng, thông tin liên lạc, điện, nước, công tác phí (chi phí đi lại, tiền thuê chỗ ở, tiền lưu trú) theo tiêu chuẩn, định mức hiện hành;</w:t>
      </w:r>
    </w:p>
    <w:p>
      <w:pPr>
        <w:pStyle w:val="Normal(Web)"/>
        <w:divId w:val="28"/>
        <w:rPr>
          <w:vanish w:val="0"/>
        </w:rPr>
      </w:pPr>
      <w:r>
        <w:t xml:space="preserve">c) Chi sửa chữa thường xuyên, sửa chữa lớn tài sản, máy móc, thiết bị phục vụ trực tiếp cho thực hiện công tác thẩm định, thu phí; khấu hao tài sản cố định để thực hiện thẩm định và thu phí;</w:t>
      </w:r>
    </w:p>
    <w:p>
      <w:pPr>
        <w:pStyle w:val="Normal(Web)"/>
        <w:divId w:val="29"/>
        <w:rPr>
          <w:vanish w:val="0"/>
        </w:rPr>
      </w:pPr>
      <w:r>
        <w:t xml:space="preserve">d) Chi mua sắm vật tư, nguyên liệu và các khoản chi khác liên quan trực tiếp đến việc thực hiện công tác thẩm định và thu phí;</w:t>
      </w:r>
    </w:p>
    <w:p>
      <w:pPr>
        <w:pStyle w:val="Normal(Web)"/>
        <w:divId w:val="30"/>
        <w:rPr>
          <w:vanish w:val="0"/>
        </w:rPr>
      </w:pPr>
      <w:r>
        <w:t xml:space="preserve">đ) Chi phí tổ chức các cuộc họp thẩm định (bao gồm cả chi nhận xét, báo cáo thẩm định) hồ sơ cấp Giấy xác nhận thực vật biến đổi gen đủ điều kiện sử dụng làm thực phẩm, thức ăn chăn nuôi theo quy định tại Thông tư liên tịch số 44/2007/TT-BTC-BKHCN ngày 07/5/2007 của Bộ Tài chính và Bộ Khoa học và Công nghệ hướng dẫn định mức xây dựng và phân bổ dự toán kinh phí với các đề tài, dự án khoa học và công nghệ có sử dụng ngân sách nhà nước và các văn bản sửa đổi, bổ sung hoặc thay thế khác (nếu có);</w:t>
      </w:r>
    </w:p>
    <w:p>
      <w:pPr>
        <w:pStyle w:val="Normal(Web)"/>
        <w:divId w:val="31"/>
        <w:rPr>
          <w:vanish w:val="0"/>
        </w:rPr>
      </w:pPr>
      <w:r>
        <w:t xml:space="preserve">e) Chi khen thưởng, phúc lợi cho cán bộ, nhân viên trực tiếp thực hiện công tác thẩm định và thu phí trong đơn vị theo nguyên tắc bình quân một năm, một người tối đa không quá 3 (ba) tháng lương thực hiện nếu số thu năm nay cao hơn năm trước và tối đa bằng 2 (hai) tháng lương thực hiện nếu số thu năm nay thấp hơn hoặc bằng năm trước sau khi đảm bảo các chi phí quy định tại điểm a, b, c, d và đ khoản này.</w:t>
      </w:r>
    </w:p>
    <w:p>
      <w:pPr>
        <w:pStyle w:val="Normal(Web)"/>
        <w:divId w:val="32"/>
        <w:rPr>
          <w:vanish w:val="0"/>
        </w:rPr>
      </w:pPr>
      <w:r>
        <w:t xml:space="preserve">3. Số tiền phí thu được còn lại 10% (mười phần trăm), cơ quan thu phí phải nộp vào ngân sách nhà nước theo chương, mục, tiểu mục của Mục lục ngân sách nhà nước hiện hành.</w:t>
      </w:r>
    </w:p>
    <w:p>
      <w:pPr>
        <w:pStyle w:val="Normal(Web)"/>
        <w:divId w:val="33"/>
        <w:rPr>
          <w:vanish w:val="0"/>
        </w:rPr>
      </w:pPr>
      <w:r>
        <w:rPr>
          <w:b/>
        </w:rPr>
        <w:t xml:space="preserve">Điều 6. Tổ chức thực hiện</w:t>
      </w:r>
    </w:p>
    <w:p>
      <w:pPr>
        <w:pStyle w:val="Normal(Web)"/>
        <w:divId w:val="34"/>
        <w:rPr>
          <w:vanish w:val="0"/>
        </w:rPr>
      </w:pPr>
      <w:r>
        <w:t xml:space="preserve">1. Thông tư này có hiệu lực thi hành kể từ ngày 25/9/2014.</w:t>
      </w:r>
    </w:p>
    <w:p>
      <w:pPr>
        <w:pStyle w:val="Normal(Web)"/>
        <w:divId w:val="35"/>
        <w:rPr>
          <w:vanish w:val="0"/>
        </w:rPr>
      </w:pPr>
      <w:r>
        <w:t xml:space="preserve">2. Các nội dung khác liên quan đến việc thu, nộp, quản lý, công khai chế độ thu phí thẩm định hồ sơ cấp Giấy xác nhận thực vật biến đổi gen đủ điều kiện sử dụng làm thực phẩm, thức ăn chăn nuôi không quy định tại Thông tư này được thực hiện theo hướng dẫn tại Thông tư số </w:t>
      </w:r>
      <w:hyperlink r:id="rId7" w:history="1">
        <w:r>
          <w:rPr>
            <w:rStyle w:val="Hyperlink"/>
          </w:rPr>
          <w:t xml:space="preserve">63/2002/TT-BTC </w:t>
        </w:r>
      </w:hyperlink>
      <w:r>
        <w:t xml:space="preserve"> ngày 24/7/2002 của Bộ Tài chính hướng dẫn thực hiện các quy định pháp luật về phí và lệ phí; Thông tư số 45/2006/TT-BTC ngày 25/5/2006 sửa đổi, bổ sung Thông tư số 63/2002/TT-BTC ngày 24/7/2002;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 Thông tư số 153/2012/TT-BTC ngày 17/9/2012 của Bộ Tài chính hướng dẫn việc phát hành, sử dụng chứng từ thu phí, lệ phí thuộc ngân sách nhà nước và các văn bản sửa đổi, bổ sung hoặc thay thế khác (nếu có).</w:t>
      </w:r>
    </w:p>
    <w:p>
      <w:pPr>
        <w:pStyle w:val="Normal(Web)"/>
        <w:divId w:val="36"/>
        <w:rPr>
          <w:vanish w:val="0"/>
        </w:rPr>
      </w:pPr>
      <w:r>
        <w:t xml:space="preserve">3. Tổ chức, cá nhân thuộc đối tượng nộp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7"/>
              <w:rPr>
                <w:vanish w:val="0"/>
              </w:rPr>
            </w:pPr>
            <w:r>
              <w:rPr>
                <w:b/>
                <w:i/>
              </w:rPr>
              <w:t xml:space="preserve">Nơi nhận:</w:t>
            </w:r>
            <w:r>
              <w:rPr>
                <w:b/>
                <w:i/>
              </w:rPr>
              <w:br/>
            </w:r>
            <w:r>
              <w:rPr>
                <w:b/>
                <w:i/>
              </w:rPr>
              <w:t xml:space="preserve"> </w:t>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Công báo;</w:t>
            </w:r>
            <w:r>
              <w:rPr/>
              <w:br/>
            </w:r>
            <w:r>
              <w:t xml:space="preserve">- Cục kiểm tra văn bản (Bộ Tư pháp);</w:t>
            </w:r>
            <w:r>
              <w:rPr/>
              <w:br/>
            </w:r>
            <w:r>
              <w:t xml:space="preserve">- Ủy ban nhân dân các tỉnh, thành phố trực thuộc Trung ương;</w:t>
            </w:r>
            <w:r>
              <w:rPr/>
              <w:br/>
            </w:r>
            <w:r>
              <w:t xml:space="preserve">- Sở Tài chính, Cục Thuế, Kho bạc nhà nước thành phố Hà Nội;</w:t>
            </w:r>
            <w:r>
              <w:rPr/>
              <w:br/>
            </w:r>
            <w:r>
              <w:t xml:space="preserve">- Các đơn vị thuộc Bộ Tài chính;</w:t>
            </w:r>
            <w:r>
              <w:rPr/>
              <w:br/>
            </w:r>
            <w:r>
              <w:t xml:space="preserve">- Website Chính phủ;</w:t>
            </w:r>
            <w:r>
              <w:rPr/>
              <w:br/>
            </w:r>
            <w:r>
              <w:t xml:space="preserve">- Website Bộ Tài chính;</w:t>
            </w:r>
            <w:r>
              <w:rPr/>
              <w:br/>
            </w:r>
            <w:r>
              <w:t xml:space="preserve">- Lưu VT, CST (CST 5).</w:t>
            </w:r>
          </w:p>
        </w:tc>
        <w:tc>
          <w:tcPr>
            <w:tcW w:w="0" w:type="auto"/>
            <w:shd w:val="clear" w:color="auto" w:fill="auto"/>
            <w:vAlign w:val="center"/>
          </w:tcPr>
          <w:p>
            <w:pPr>
              <w:pStyle w:val="Normal(Web)"/>
              <w:divId w:val="3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6-2014-tt-btc.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so-69-2010-nd-cp-cua-chinh-phu---ve-an-toan-sinh-hoc-doi-voi-sinh-vat-bien-doi-gen--mau-vat-di-truyen-va-san-pham-cua-sinh-vat-bien-doi-gen.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so-63-2002-tt-btc-cua-bo-tai-chinh---huong-dan-thuc-hien-cac-quy-dinh-phap-luat-ve-phi-va-le-ph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2022-06-21T17:30:22Z</dcterms:created>
  <dcterms:modified xsi:type="dcterms:W3CDTF">2022-06-21T17:30:22Z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2022-06-21T17:30:22Z</dcterms:created>
  <dcterms:modified xsi:type="dcterms:W3CDTF">2022-06-21T17:30:22Z</dcterms:modified>
</cp:coreProperties>
</file>