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13/2013/TT-NHNN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11</w:t>
            </w:r>
            <w:r>
              <w:rPr>
                <w:i/>
              </w:rPr>
              <w:t xml:space="preserve"> tháng </w:t>
            </w:r>
            <w:r>
              <w:rPr>
                <w:i/>
              </w:rPr>
              <w:t xml:space="preserve">06</w:t>
            </w:r>
            <w:r>
              <w:rPr>
                <w:i/>
              </w:rPr>
              <w:t xml:space="preserve"> năm </w:t>
            </w:r>
            <w:r>
              <w:rPr>
                <w:i/>
              </w:rPr>
              <w:t xml:space="preserve">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VIỆCSỬA ĐỔI, BỔ SUNG MỘT SỐ ĐIỀU CỦA THÔNG TƯ SỐ </w:t>
      </w:r>
      <w:hyperlink r:id="rId3" w:history="1">
        <w:r>
          <w:rPr>
            <w:rStyle w:val="Hyperlink"/>
          </w:rPr>
          <w:t xml:space="preserve">23/2010/TT-NHNN </w:t>
        </w:r>
      </w:hyperlink>
      <w:r>
        <w:t xml:space="preserve"> NGÀY 9/11/2010 CỦATHỐNG ĐỐC NGÂN HÀNG NHÀ NƯỚC QUY ĐỊNH VỀ QUẢN LÝ, VẬN HÀNH VÀ SỬ DỤNG HỆ THỐNGTHANH TOÁN ĐIỆN TỬ LIÊN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hàng Nhà nước ViệtNam số </w:t>
      </w:r>
      <w:hyperlink r:id="rId4" w:history="1">
        <w:r>
          <w:rPr>
            <w:rStyle w:val="Hyperlink"/>
            <w:i/>
          </w:rPr>
          <w:t xml:space="preserve">46/2010/QH12 </w:t>
        </w:r>
      </w:hyperlink>
      <w:r>
        <w:rPr>
          <w:i/>
        </w:rPr>
        <w:t xml:space="preserve"> ngày 16/6/2010;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Các tổ chức tín dụng số </w:t>
      </w:r>
      <w:hyperlink r:id="rId5" w:history="1">
        <w:r>
          <w:rPr>
            <w:rStyle w:val="Hyperlink"/>
            <w:i/>
          </w:rPr>
          <w:t xml:space="preserve">47/2010/QH12 </w:t>
        </w:r>
      </w:hyperlink>
      <w:r>
        <w:rPr>
          <w:i/>
        </w:rPr>
        <w:t xml:space="preserve"> ngày 16/6/2010;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 </w:t>
      </w:r>
      <w:r>
        <w:rPr>
          <w:i/>
        </w:rPr>
        <w:t xml:space="preserve"> </w:t>
      </w:r>
      <w:hyperlink r:id="rId6" w:history="1">
        <w:r>
          <w:rPr>
            <w:rStyle w:val="Hyperlink"/>
            <w:i/>
          </w:rPr>
          <w:t xml:space="preserve">96/2008/NĐ-CP </w:t>
        </w:r>
      </w:hyperlink>
      <w:r>
        <w:rPr>
          <w:i/>
        </w:rPr>
        <w:t xml:space="preserve"> ngày 26/8/2008 của Chính phủ quy định chức năng, nhiệm vụ,quyền hạn và cơ cấu tổ chức của Ngân hàng Nhà nước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 </w:t>
      </w:r>
      <w:r>
        <w:rPr>
          <w:i/>
        </w:rPr>
        <w:t xml:space="preserve"> </w:t>
      </w:r>
      <w:hyperlink r:id="rId7" w:history="1">
        <w:r>
          <w:rPr>
            <w:rStyle w:val="Hyperlink"/>
            <w:i/>
          </w:rPr>
          <w:t xml:space="preserve">35/2007/NĐ-CP </w:t>
        </w:r>
      </w:hyperlink>
      <w:r>
        <w:rPr>
          <w:i/>
        </w:rPr>
        <w:t xml:space="preserve"> ngày 08/3/2007 của Chính phủ về giao dịch điện tử trong hoạtđộng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8" w:history="1">
        <w:r>
          <w:rPr>
            <w:rStyle w:val="Hyperlink"/>
            <w:i/>
          </w:rPr>
          <w:t xml:space="preserve">101/2012/NĐ-CP </w:t>
        </w:r>
      </w:hyperlink>
      <w:r>
        <w:rPr>
          <w:i/>
        </w:rPr>
        <w:t xml:space="preserve"> ngày 22/11/2012 của Chính phủ về hoạt động thanh toán không dùng ti</w:t>
      </w:r>
      <w:r>
        <w:rPr>
          <w:i/>
        </w:rPr>
        <w:t xml:space="preserve">ề</w:t>
      </w:r>
      <w:r>
        <w:rPr>
          <w:i/>
        </w:rPr>
        <w:t xml:space="preserve">n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Côngnghệ tin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Thống đốc Ngân hàng Nhà nước Việt Namban hành Thông tư sửa đổi, bổ sung một số điều của Thông tư số 23/2010/TT-NHNN ngày 9/11/2010 của Thống đốc Ngân hàng Nhà nước Quy định về quản lý, vận hànhvà sử dụng Hệ thống Thanh toán điện tử liên ngân hàng (sau đây gọi là Thông tư23/2010/TT-NHNN )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Sửađổi, bổ sung một số điều của Thông tư 23/2010/TT-NHNN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Sửa đổi, bổ sung Khoản 1 Điều11 Thông tư 23/2010/TT-NHNN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thời điểm áp dụng trong Hệ thốngThanh toán điện tử liên ngân hàng (sau đây gọi là TTLNH)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Thời điểm thực hiện kiểm tra kỹ thuậtvà khởi tạo dữ liệu đầu ngày của Hệ thống TTLNH là 8 giờ của ngày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Thời điểm các đơn vị ngừng gửi Lệnhthanh toán giá trị thấp là 16 giờ và ngừng gửi Lệnh thanh toán giá trị cao là17 giờ của ngày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Từ </w:t>
      </w:r>
      <w:r>
        <w:t xml:space="preserve">16 giờ 10 phút trở đi, thực hiệnquyết toán bù trừ các khoản giá trị thấp theo quy định tại Điều 28 Thông tưnày;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Từ 17 giờ 15 phút trở đi, thực hiệncác công việc cuối ngày, đối chiếu, xác nhận số liệu với Trung tâm Xử lý Quốcgia;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w:t>
      </w:r>
      <w:r>
        <w:t xml:space="preserve">ợ</w:t>
      </w:r>
      <w:r>
        <w:t xml:space="preserve">p đặcbiệt do sự cố kỹ thuật, truyền tin hoặc do khối lượng chứng từ phát sinh quánhiều vào cuối giờ giao dịch, Trung tâm Xử lý khu vực và Ngân hàng Nhà nước chinhánh tỉnh, thành phố trực thuộc Trung ương có thể đề nghị Trung tâm Xử lý Quốcgia kéo dài thời gian chuyển tiền đi của Hệ thống TTLNH (bằng văn bản giấy,hoặc bằng điện thoại, hoặc bằng thư điện tử) để xử lý tiếp chứng từ thanh toánđã nhận trong ngày, nhưng thời gian kéo dài không quá 30 phút đối với các mốcthời gian quy định tại điểm b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Ban điều hành Hệ thống TTLNH quy</w:t>
      </w:r>
      <w:r>
        <w:t xml:space="preserve">ế</w:t>
      </w:r>
      <w:r>
        <w:t xml:space="preserve">t định thời gian làm việc của Hệ thống trong các ngày nghỉ, lễ, tết vàthời gian quyết toán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t xml:space="preserve">Sửa đổi, bổ sung </w:t>
      </w:r>
      <w:r>
        <w:t xml:space="preserve">Điểm</w:t>
      </w:r>
      <w:r>
        <w:t xml:space="preserve">a Khoản 2 Điều 26 Thông tư 23/2010/TT-NHNN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a) Sở Giao dịch thực hiện cầm cốgiấy tờ có giá của thành viên ký quỹ để tham gia thanh toán giá trị thấp có giátrị còn lại bằng 10% hạn mức nợ ròng do Sở Giao dịch thông báo cho thành viên.Trong trường h</w:t>
      </w:r>
      <w:r>
        <w:t xml:space="preserve">ợ</w:t>
      </w:r>
      <w:r>
        <w:t xml:space="preserve">p thành viên không đủ số dư quyết toán kếtquả thanh toán giá trị thấp quá 2 lần trong 1 tuần, Sở Giao dịch thông báo choBan điều hành để quyết định tăng tỷ lệ ký quỹ giá trị còn lại giấy tờ có giácủa thành viên đó tại Ngân hàng Nhà nước lên mức từ 50% đến 100% hạn mức nợròng.”.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t xml:space="preserve">Sửa đổi, bổ sung Điểm b Khoản2 Điều 29 Thông tư 23/2010/TT-NHNN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báo cáo các thành viên thiếu vốngiá trị thấp theo mẫu Báo cáo ngân hàng thiếu vốn giá trị thấp (theo mẫu số 01ban hành kèm theo Thông tư này) tại thời điểm thực hiện quyết toán bù trừ và thôngbáo tình trạng vốn cho các thành viên; Yêu cầu thành viên có các biện pháp bổsung vốn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t xml:space="preserve">Sửa đổi, bổ sung Điểm d Khoản2 Điều 31 Thông tư số 23/2010/TT-NHNN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Sở Giao dịch in Giấy nhận nợ ngânhàng thiếu vốn giá trị thấp do T</w:t>
      </w:r>
      <w:r>
        <w:t xml:space="preserve">ổ </w:t>
      </w:r>
      <w:r>
        <w:t xml:space="preserve">chức tín dụng lập (theo mẫusố 02 ban hành kèm theo Thông tư này) và thực hiện giải pháp cho vay thanh toánbù trừ theo quy định của Ngân hàng Nhà nước trong trường hợp các thành viênkhông có khả năng thanh toán các khoản phải trả ròng vào thời điểm ngừng gửiLệnh thanh toán giá trị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Trách nhiệm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Vụ trưởng Vụ Thanh toán,Vụ trưởng Vụ Tài chính Kế toán, Cục trưởng Cục Công nghệ tin học, Thủ trưởngcác đơn vị thuộc Ngân hàng Nhà nước, Giám đốc Sở Giao dịch Ngân hàng Nhà nước,Giám đốc Ngân hàng Nhà nước chi nhánh tỉnh, thành phố trực thuộc Trung ương,Tổng Giám đốc (Giám đốc) tổ chức cung ứng dịch vụ thanh toán chịu trách nhiệmthi hành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Điềukhoản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có hiệu lực kể từ ngày </w:t>
      </w:r>
      <w:r>
        <w:t xml:space="preserve">01</w:t>
      </w:r>
      <w:r>
        <w:t xml:space="preserve"> tháng </w:t>
      </w:r>
      <w:r>
        <w:t xml:space="preserve">8 </w:t>
      </w:r>
      <w:r>
        <w:t xml:space="preserve">năm 2013.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w:t>
            </w:r>
            <w:r>
              <w:t xml:space="preserve">Như Điều 2;</w:t>
            </w:r>
            <w:r>
              <w:rPr/>
              <w:br/>
            </w:r>
            <w:r>
              <w:t xml:space="preserve"> </w:t>
            </w:r>
            <w:r>
              <w:t xml:space="preserve">- </w:t>
            </w:r>
            <w:r>
              <w:t xml:space="preserve">Ban lãnh đạo NHNN;</w:t>
            </w:r>
            <w:r>
              <w:rPr/>
              <w:br/>
            </w:r>
            <w:r>
              <w:t xml:space="preserve"> </w:t>
            </w:r>
            <w:r>
              <w:t xml:space="preserve">- </w:t>
            </w:r>
            <w:r>
              <w:t xml:space="preserve">Văn phòng Chính phủ (2 bản);</w:t>
            </w:r>
            <w:r>
              <w:rPr/>
              <w:br/>
            </w:r>
            <w:r>
              <w:t xml:space="preserve"> </w:t>
            </w:r>
            <w:r>
              <w:t xml:space="preserve">- </w:t>
            </w:r>
            <w:r>
              <w:t xml:space="preserve">Bộ Tư pháp (để kiểm tra);</w:t>
            </w:r>
            <w:r>
              <w:rPr/>
              <w:br/>
            </w:r>
            <w:r>
              <w:t xml:space="preserve"> </w:t>
            </w:r>
            <w:r>
              <w:t xml:space="preserve">- </w:t>
            </w:r>
            <w:r>
              <w:t xml:space="preserve">Công báo;</w:t>
            </w:r>
            <w:r>
              <w:rPr/>
              <w:br/>
            </w:r>
            <w:r>
              <w:t xml:space="preserve"> </w:t>
            </w:r>
            <w:r>
              <w:t xml:space="preserve">- </w:t>
            </w:r>
            <w:r>
              <w:t xml:space="preserve">Lưu VP, Vụ PC, Cục CNTH, Vụ TT, Sở GD.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KT. THỐNG ĐỐC PHÓ THỐNG ĐỐC </w:t>
            </w:r>
            <w:r>
              <w:rPr>
                <w:b/>
              </w:rPr>
              <w:t xml:space="preserve">Nguyễn Toàn Thắng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MẪUSỐ 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Ban hành kèm theo Thông tư số </w:t>
      </w:r>
      <w:r>
        <w:rPr>
          <w:i/>
        </w:rPr>
        <w:t xml:space="preserve">13</w:t>
      </w:r>
      <w:r>
        <w:rPr>
          <w:i/>
        </w:rPr>
        <w:t xml:space="preserve">/ 2013/TT-NHNN </w:t>
      </w:r>
      <w:r>
        <w:rPr>
          <w:i/>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NGÂN HÀNG NHÀ NƯỚC </w:t>
            </w:r>
            <w:r>
              <w:rPr>
                <w:b/>
              </w:rPr>
              <w:t xml:space="preserve">VIỆT NAM</w:t>
            </w:r>
            <w:r>
              <w:rPr>
                <w:b/>
              </w:rPr>
              <w:t xml:space="preserve">SỞ GIAO DỊCH</w:t>
            </w:r>
            <w:r>
              <w:rPr>
                <w:b/>
              </w:rPr>
              <w:br/>
            </w:r>
            <w:r>
              <w:rPr>
                <w:b/>
              </w:rP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BÁOCÁO NGÂN HÀNG THIẾU VỐN GIÁ TRỊ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điểm bù trừ: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ngân hàng: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tiền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tiền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Chênh lệch: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tiền thiếu: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cho vay Thanh toán bù trừ:</w:t>
      </w:r>
      <w:r>
        <w:t xml:space="preserve">………………………………………………………….. </w:t>
      </w:r>
      <w:r>
        <w:t xml:space="preserve">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chữ:</w:t>
      </w:r>
      <w:r>
        <w:t xml:space="preserve">……………………………………………………………………………………………</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Lập bảng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soát</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MẪUSỐ 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Ban hành kèm theo Thông tư số </w:t>
      </w:r>
      <w:r>
        <w:rPr>
          <w:i/>
        </w:rPr>
        <w:t xml:space="preserve">13/2013</w:t>
      </w:r>
      <w:r>
        <w:rPr>
          <w:i/>
        </w:rPr>
        <w:t xml:space="preserve">/TT-NHNN</w:t>
      </w:r>
      <w:r>
        <w:rPr>
          <w:i/>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/CV</w:t>
            </w:r>
            <w:r>
              <w:rPr/>
              <w:br/>
            </w:r>
            <w:r>
              <w:t xml:space="preserve">V/v nhận nợ vay bù trừ giá trị thấp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GIẤYNHẬN NỢ VAY BÙ TRỪ GIÁ TRỊ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gửi:Sở Giao dịch NHNN.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Báo cáo ngân hàng thiếu vốngiá trị thấp ngày ... tháng .... năm</w:t>
      </w:r>
      <w:r>
        <w:t xml:space="preserve"> ……… </w:t>
      </w:r>
      <w:r>
        <w:t xml:space="preserve">của Sở Giao dịchNHNN.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ổ </w:t>
      </w:r>
      <w:r>
        <w:t xml:space="preserve">chức tín dụng&gt;nhận nợ vay bù trừ giá trị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w:t>
      </w:r>
      <w:r>
        <w:t xml:space="preserve">……………………………………………………………. </w:t>
      </w:r>
      <w:r>
        <w:t xml:space="preserve">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ằ</w:t>
      </w:r>
      <w:r>
        <w:t xml:space="preserve">ng chữ: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Lãi suất</w:t>
      </w:r>
      <w:r>
        <w:t xml:space="preserve"> …………………….. </w:t>
      </w:r>
      <w:r>
        <w:t xml:space="preserve">%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cam kết trả nợ(cả gốc lẫn lãi) theo đúng quy định của NHNN.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trên;</w:t>
            </w:r>
            <w:r>
              <w:rPr/>
              <w:br/>
            </w:r>
            <w:r>
              <w:t xml:space="preserve">- Lưu …</w:t>
            </w:r>
          </w:p>
        </w:tc>
        <w:tc>
          <w:tcPr>
            <w:tcW w:w="0" w:type="auto"/>
            <w:shd w:val="clear" w:color="auto" w:fill="auto"/>
            <w:vAlign w:val="center"/>
          </w:tcPr>
          <w:p>
            <w:pPr>
              <w:pStyle w:val="Normal(Web)"/>
              <w:rPr>
                <w:vanish w:val="0"/>
              </w:rPr>
            </w:pPr>
            <w:r>
              <w:rPr>
                <w:b/>
              </w:rPr>
              <w:t xml:space="preserve">T</w:t>
            </w:r>
            <w:r>
              <w:rPr>
                <w:b/>
              </w:rPr>
              <w:t xml:space="preserve">Ổ</w:t>
            </w:r>
            <w:r>
              <w:rPr>
                <w:b/>
              </w:rPr>
              <w:t xml:space="preserve">NG GIÁM ĐỐC (Giám đốc)</w:t>
            </w:r>
            <w:r>
              <w:rPr>
                <w:b/>
                <w:i/>
              </w:rPr>
              <w:t xml:space="preserve">(Ký tên)</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3-2010-tt-nhnn-cua-ngan-hang-nha-nuoc-viet-nam---quy-dinh-ve-viec-quan-ly--van-hanh-va-su-dung-he-thong-thanh-toan-dien-tu-lien-ngan-hang.aspx" TargetMode="External" /><Relationship Id="rId4" Type="http://schemas.openxmlformats.org/officeDocument/2006/relationships/hyperlink" Target="/luat-ngan-hang-nha-nuoc-viet-nam-so-46-2010-qh12.aspx" TargetMode="External" /><Relationship Id="rId5" Type="http://schemas.openxmlformats.org/officeDocument/2006/relationships/hyperlink" Target="/luat-cac-to-chuc-tin-dung-cua-quoc-hoi--so-47-2010-qh12.aspx" TargetMode="External" /><Relationship Id="rId6" Type="http://schemas.openxmlformats.org/officeDocument/2006/relationships/hyperlink" Target="/nghi-dinh-so-96-2008-nd-cp-cua-chinh-phu---quy-dinh-chuc-nang--nhiem-vu--quyen-han-va-co-cau-to-chuc-cua-ngan-hang-nha-nuoc-viet-nam.aspx" TargetMode="External" /><Relationship Id="rId7" Type="http://schemas.openxmlformats.org/officeDocument/2006/relationships/hyperlink" Target="/nghi-dinh-so-35-2007-nd-cp-cua-chinh-phu---ve-giao-dich-dien-tu-trong-hoat-dong-ngan-hang.aspx" TargetMode="External" /><Relationship Id="rId8" Type="http://schemas.openxmlformats.org/officeDocument/2006/relationships/hyperlink" Target="/nghi-dinh-101-2012-nd-cp-ve-viec-thanh-toan-khong-dung-tien-mat.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2022-06-21T16:48:17Z</dcterms:created>
  <dcterms:modified xsi:type="dcterms:W3CDTF">2022-06-21T16:48:17Z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2022-06-21T16:48:17Z</dcterms:created>
  <dcterms:modified xsi:type="dcterms:W3CDTF">2022-06-21T16:48:17Z</dcterms:modified>
</cp:coreProperties>
</file>