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183/2012/TT-BTC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10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THÔNG TƯ</w:t>
      </w:r>
    </w:p>
    <w:p>
      <w:pPr>
        <w:pStyle w:val="Normal(Web)"/>
        <w:divId w:val="7"/>
        <w:jc w:val="center"/>
        <w:rPr>
          <w:vanish w:val="0"/>
        </w:rPr>
      </w:pPr>
      <w:r>
        <w:t xml:space="preserve">Quy định mẫu tờ khai, phụ lục tờ khai hàng hóa nhập, xuất kho ngoại quan </w:t>
      </w:r>
    </w:p>
    <w:p>
      <w:pPr>
        <w:pStyle w:val="Normal(Web)"/>
        <w:divId w:val="8"/>
        <w:jc w:val="center"/>
        <w:rPr>
          <w:vanish w:val="0"/>
        </w:rPr>
      </w:pPr>
      <w:r>
        <w:t xml:space="preserve">và việc sử dụng tờ khai, phụ lục tờ khai hàng hóa nhập, xuất kho ngoại quan</w:t>
      </w:r>
    </w:p>
    <w:p>
      <w:pPr>
        <w:pStyle w:val="Normal(Web)"/>
        <w:divId w:val="9"/>
        <w:jc w:val="center"/>
        <w:rPr>
          <w:vanish w:val="0"/>
        </w:rPr>
      </w:pPr>
      <w:r>
        <w:t xml:space="preserve">__________________</w:t>
      </w:r>
    </w:p>
    <w:p>
      <w:pPr>
        <w:pStyle w:val="Normal(Web)"/>
        <w:divId w:val="10"/>
        <w:rPr>
          <w:vanish w:val="0"/>
        </w:rPr>
      </w:pPr>
      <w:r>
        <w:t xml:space="preserve">Căn cứ Luật Hải quan số 29/2001/QH10 ngày 29 tháng 6 năm 2001 và Luật số 42/2005/QH11 ngày 14 tháng 6 năm 2005 sửa đổi, bổ sung một số điều của Luật Hải quan;</w:t>
      </w:r>
    </w:p>
    <w:p>
      <w:pPr>
        <w:pStyle w:val="Normal(Web)"/>
        <w:divId w:val="11"/>
        <w:rPr>
          <w:vanish w:val="0"/>
        </w:rPr>
      </w:pPr>
      <w:r>
        <w:t xml:space="preserve">Căn cứ Nghị định số 154/2005/NĐ-CP ngày 15 tháng 12 năm 2005 của Chính phủ quy định chi tiết một số điều Luật Hải quan về thủ tục hải quan, kiểm tra, giám sát hải quan;</w:t>
      </w:r>
    </w:p>
    <w:p>
      <w:pPr>
        <w:pStyle w:val="Normal(Web)"/>
        <w:divId w:val="12"/>
        <w:rPr>
          <w:vanish w:val="0"/>
        </w:rPr>
      </w:pPr>
      <w:r>
        <w:t xml:space="preserve">Căn cứ Nghị định số 118/2008/NĐ-CP ngày 27 tháng 11 năm 2008 của Chính phủ quy định chức năng, nhiệm vụ, quyền hạn và cơ cấu tổ chức của Bộ Tài chính;</w:t>
      </w:r>
    </w:p>
    <w:p>
      <w:pPr>
        <w:pStyle w:val="Normal(Web)"/>
        <w:divId w:val="13"/>
        <w:rPr>
          <w:vanish w:val="0"/>
        </w:rPr>
      </w:pPr>
      <w:r>
        <w:t xml:space="preserve">Thực hiện Nghị quyết số 25/NQ-CP ngày 02/6/2010 về đơn giản hóa 258 thủ tục hành chính thuộc phạm vi chức năng quản lý của Bộ, ngành;</w:t>
      </w:r>
    </w:p>
    <w:p>
      <w:pPr>
        <w:pStyle w:val="Normal(Web)"/>
        <w:divId w:val="14"/>
        <w:rPr>
          <w:vanish w:val="0"/>
        </w:rPr>
      </w:pPr>
      <w:r>
        <w:t xml:space="preserve">Thực hiện Nghị quyết số 68/NQ-CP ngày 27/12/2010 về đơn giản hóa thủ tục hành chính thuộc phạm vi chức năng quản lý của Bộ Tài chính;</w:t>
      </w:r>
    </w:p>
    <w:p>
      <w:pPr>
        <w:pStyle w:val="Normal(Web)"/>
        <w:divId w:val="15"/>
        <w:rPr>
          <w:vanish w:val="0"/>
        </w:rPr>
      </w:pPr>
      <w:r>
        <w:t xml:space="preserve">Theo đề nghị của Tổng cục trưởng Tổng cục Hải quan;</w:t>
      </w:r>
    </w:p>
    <w:p>
      <w:pPr>
        <w:pStyle w:val="Normal(Web)"/>
        <w:divId w:val="16"/>
        <w:rPr>
          <w:vanish w:val="0"/>
        </w:rPr>
      </w:pPr>
      <w:r>
        <w:t xml:space="preserve">Bộ trưởng Bộ Tài chính ban hành Thông tư quy định mẫu tờ khai, phụ lục tờ khai hàng hóa nhập, xuất kho ngoại quan và việc sử dụng tờ khai, phụ lục tờ khai hàng hóa nhập, xuất kho ngoại quan,</w:t>
      </w:r>
    </w:p>
    <w:p>
      <w:pPr>
        <w:pStyle w:val="Normal(Web)"/>
        <w:divId w:val="17"/>
        <w:rPr>
          <w:vanish w:val="0"/>
        </w:rPr>
      </w:pPr>
      <w:r>
        <w:t xml:space="preserve">Điều 1. Ban hành kèm theo Thông tư này:</w:t>
      </w:r>
    </w:p>
    <w:p>
      <w:pPr>
        <w:pStyle w:val="Normal(Web)"/>
        <w:divId w:val="18"/>
        <w:rPr>
          <w:vanish w:val="0"/>
        </w:rPr>
      </w:pPr>
      <w:r>
        <w:t xml:space="preserve">1. Mẫu tờ khai hàng hóa nhập, xuất kho ngoại quan (mẫu HQ/2012-KNQ);</w:t>
      </w:r>
    </w:p>
    <w:p>
      <w:pPr>
        <w:pStyle w:val="Normal(Web)"/>
        <w:divId w:val="19"/>
        <w:rPr>
          <w:vanish w:val="0"/>
        </w:rPr>
      </w:pPr>
      <w:r>
        <w:t xml:space="preserve">2. Mẫu phụ lục tờ khai hàng hóa nhập, xuất kho ngoại quan (mẫu PLHQ/2012-KNQ);</w:t>
      </w:r>
    </w:p>
    <w:p>
      <w:pPr>
        <w:pStyle w:val="Normal(Web)"/>
        <w:divId w:val="20"/>
        <w:rPr>
          <w:vanish w:val="0"/>
        </w:rPr>
      </w:pPr>
      <w:r>
        <w:t xml:space="preserve">3. Quy định việc sử dụng tờ khai, phụ lục tờ khai hàng hóa nhập, xuất kho ngoại quan.</w:t>
      </w:r>
    </w:p>
    <w:p>
      <w:pPr>
        <w:pStyle w:val="Normal(Web)"/>
        <w:divId w:val="21"/>
        <w:rPr>
          <w:vanish w:val="0"/>
        </w:rPr>
      </w:pPr>
      <w:r>
        <w:t xml:space="preserve">Điều 2. Hiệu lực thi hành</w:t>
      </w:r>
    </w:p>
    <w:p>
      <w:pPr>
        <w:pStyle w:val="Normal(Web)"/>
        <w:divId w:val="22"/>
        <w:rPr>
          <w:vanish w:val="0"/>
        </w:rPr>
      </w:pPr>
      <w:r>
        <w:t xml:space="preserve">Thông tư này có hiệu lực thi hành kể từ ngày 01 tháng 01 năm 2013, thay thế mẫu tờ khai hàng hóa nhập, xuất kho ngoại quan (mẫu HQ/ 2002/KNQ ) ban hành kèm Quyết định số 1473/2002/QĐ-TCHQ ngày 24/5/2002 của Tổng cục trưởng Tổng cục Hải quan.</w:t>
      </w:r>
    </w:p>
    <w:p>
      <w:pPr>
        <w:pStyle w:val="Normal(Web)"/>
        <w:divId w:val="23"/>
        <w:rPr>
          <w:vanish w:val="0"/>
        </w:rPr>
      </w:pPr>
      <w:r>
        <w:t xml:space="preserve">Điều 3. Tổ chức thực hiện</w:t>
      </w:r>
    </w:p>
    <w:p>
      <w:pPr>
        <w:pStyle w:val="Normal(Web)"/>
        <w:divId w:val="24"/>
        <w:rPr>
          <w:vanish w:val="0"/>
        </w:rPr>
      </w:pPr>
      <w:r>
        <w:t xml:space="preserve">Tổng cục trưởng Tổng cục Hải quan và các tổ chức, cá nhân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Hoàng Anh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sChild>
    </w:div>
    <w:div w:id="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83-2012-tt-btc-cua-bo-tai-chinh---quy-dinh-mau-to-khai--phu-luc-to-khai-hang-hoa-nhap--xuat-kho-ngoai-quan-va-viec-su-dung-to-khai--phu-luc-to-khai-hang-hoa-nhap--xuat-kho-ngoai-qu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2022-06-22T09:57:45Z</dcterms:created>
  <dcterms:modified xsi:type="dcterms:W3CDTF">2022-06-22T09:57:45Z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2022-06-22T09:57:45Z</dcterms:created>
  <dcterms:modified xsi:type="dcterms:W3CDTF">2022-06-22T09:57:45Z</dcterms:modified>
</cp:coreProperties>
</file>