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186/2014/TT-BTC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08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SỬA ĐỔI, BỔ SUNG CHƯƠNG 98 QUY ĐỊNH MÃ HÀNG HÓA VÀ MỨC THUẾ SUẤT THUẾ NHẬP KHẨU ƯU ĐÃI RIÊNG ĐỐI VỚI MỘT SỐ NHÓM MẶT HÀNG CỦA BIỂU THUẾ NHẬP KHẨU ƯU ĐÃI BAN HÀNH KÈM THEO THÔNG TƯ SỐ </w:t>
      </w:r>
      <w:hyperlink r:id="rId4" w:history="1">
        <w:r>
          <w:rPr>
            <w:rStyle w:val="Hyperlink"/>
            <w:b/>
          </w:rPr>
          <w:t xml:space="preserve">164/2013/TT-BTC </w:t>
        </w:r>
      </w:hyperlink>
      <w:r>
        <w:rPr>
          <w:b/>
        </w:rPr>
        <w:t xml:space="preserve"> NGÀY 15/11/2013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xuất khẩu, Thuế nhập khẩu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295/2007/NQ-UBTVQH 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87/2010/NĐ-CP </w:t>
        </w:r>
      </w:hyperlink>
      <w:r>
        <w:rPr>
          <w:i/>
        </w:rPr>
        <w:t xml:space="preserve"> ngày 13/8/2010 của Chính phủ quy định chi tiết thi hành một số điều của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đổi, bổ sung Chương 98 quy định mã hàng hóa và mức thuế suất thuế nhập khẩu ưu đãi riêng đối với một số nhóm mặt hàng, mặt hàng của Biểu thuế nhập khẩu ưu đãi ban hành kèm theo Thông tư số 164/2013/TT-BTC ngày 15/11/2013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Mục I - Chú giải và điều kiện áp dụng thuế suất thuế nhập khẩu ưu đãi riêng tại Chương 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điểm 1.37 vào khoản 1 Chú giải Chương thuộc mục 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“1.37. Mặt hàng hạt nhựa PolyPropylene (hạt nhựa PP) dạng nguyên sinh dùng để sản xuất màng propylen định hướng hai chiều (BOPP)”.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điểm 2.8 vào khoản 2 Chú giải nhóm thuộc mục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Mặt hàng hạt nhựa PP dạng nguyên sinh dùng để sản xuất màng propylen định hướng hai chiều (BOPP)” thuộc nhóm 98.37 phải đáp ứng đủ thông số kỹ thuật về tỷ trọng, chỉ số nóng chảy, cường độ chịu lực, mô dun uốn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trọng (g/cm3)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số nóng chảy - MFR/MI (g/10min)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Cường độ chịu lực (MPa)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Môdun uốn (MPa)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PP sử dụng làm nguyên liệu sản xuất màng BOPP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Đáp ứng 1 trong các tiêu chí sau: 32; 33; 34; 35; 36;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Đáp ứng 1 trong các tiêu chí sau: 1200; 1225; 1250; 1265;1310; 1350; 1450; 1500; 1550; 1700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đăng ký tờ khai hải quan, người khai hải quan phải nộp cho cơ quan hải quan nơi đăng ký tờ khai hàng hóa nhập khẩu văn bản chứng nhận xuất xưởng (Certification of analysis) hoặc bản tiêu chuẩn kỹ thuật (Product Data Sheet hoặc Technical Data Sheet) do nhà sản xuất cung cấp trong đó thể hiện rõ các thông số kỹ thuật nêu trên: 01 bản chụp có xác nhận sao y của doanh nghiệp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Bổ sung mục II- Danh mục nhóm mặt hàng, mặt hàng và mức thuế suất thuế nhập khẩu ưu đãi (Chương 98)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hàng hóa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 tương ứng tại mục I phụ lục II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9837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Hạt nhựa PolyPropylene dạng nguyên sinh dùng để sản xuất màng propylen định hướng hai chiều (BOPP)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22/01/2015 đến 31/12/2015.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ngày 01/01/2016 trở đi thực hiện theo mức thuế suất thuế nhập khẩu ưu đãi quy định tại khoản 2 Điều 4 Thông tư số 164/2013/TT-BTC ngày 15/11/2013 của Bộ trưởng Bộ Tài chính ban hành Thông tư ban hành Biểu thuế xuất khẩu, Biểu thuế nhập khẩu ưu đãi theo danh mục mặt hàng chịu thuế và Thông tư sửa đổi, bổ sung hoặc thay thế Thông tư số 164/2013/TT-BTC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các Phó TTCP;</w:t>
            </w:r>
            <w:r>
              <w:rPr/>
              <w:br/>
            </w:r>
            <w:r>
              <w:t xml:space="preserve">- Văn phòng TW và các ban của Đảng;</w:t>
            </w:r>
            <w:r>
              <w:rPr/>
              <w:br/>
            </w:r>
            <w:r>
              <w:t xml:space="preserve">- Văn phòng Quốc hội;</w:t>
            </w:r>
            <w:r>
              <w:rPr/>
              <w:br/>
            </w:r>
            <w:r>
              <w:t xml:space="preserve">- Văn phòng Chủ tịch nước;</w:t>
            </w:r>
            <w:r>
              <w:rPr/>
              <w:br/>
            </w:r>
            <w:r>
              <w:t xml:space="preserve">- Tòa án nhân dân TC;</w:t>
            </w:r>
            <w:r>
              <w:rPr/>
              <w:br/>
            </w:r>
            <w:r>
              <w:t xml:space="preserve">- Viện Kiểm sát nhân dân TC;</w:t>
            </w:r>
            <w:r>
              <w:rPr/>
              <w:br/>
            </w:r>
            <w:r>
              <w:t xml:space="preserve">- Kiểm toán Nhà nước;</w:t>
            </w:r>
            <w:r>
              <w:rPr/>
              <w:br/>
            </w:r>
            <w:r>
              <w:t xml:space="preserve">- Văn phòng BCĐTW về phòng chống tham nhũng;</w:t>
            </w:r>
            <w:r>
              <w:rPr/>
              <w:br/>
            </w:r>
            <w:r>
              <w:t xml:space="preserve">- Các Bộ, cơ quan ngang Bộ, cơ quan thuộc Chính phủ;</w:t>
            </w:r>
            <w:r>
              <w:rPr/>
              <w:br/>
            </w:r>
            <w:r>
              <w:t xml:space="preserve">- UBND các tỉnh, thành phố trực thuộc Trung ương;</w:t>
            </w:r>
            <w:r>
              <w:rPr/>
              <w:br/>
            </w:r>
            <w:r>
              <w:t xml:space="preserve">- Phòng Thương mại và Công nghiệp Việt Nam;</w:t>
            </w:r>
            <w:r>
              <w:rPr/>
              <w:br/>
            </w:r>
            <w:r>
              <w:t xml:space="preserve">- Cục Kiểm tra văn bản (Bộ Tư pháp);</w:t>
            </w:r>
            <w:r>
              <w:rPr/>
              <w:br/>
            </w:r>
            <w:r>
              <w:t xml:space="preserve">- Cục Hải quan các tỉnh, thành phố;</w:t>
            </w:r>
            <w:r>
              <w:rPr/>
              <w:br/>
            </w:r>
            <w:r>
              <w:t xml:space="preserve">- Công báo;</w:t>
            </w:r>
            <w:r>
              <w:rPr/>
              <w:br/>
            </w:r>
            <w:r>
              <w:t xml:space="preserve">- Website Chính phủ;</w:t>
            </w:r>
            <w:r>
              <w:rPr/>
              <w:br/>
            </w:r>
            <w:r>
              <w:t xml:space="preserve">- Website Bộ Tài chính;</w:t>
            </w:r>
            <w:r>
              <w:rPr/>
              <w:br/>
            </w:r>
            <w:r>
              <w:t xml:space="preserve">- Các đơn vị thuộc Bộ Tài chính;</w:t>
            </w:r>
            <w:r>
              <w:rPr/>
              <w:br/>
            </w:r>
            <w:r>
              <w:t xml:space="preserve">- Lưu: VT, CST (P</w:t>
            </w:r>
            <w:r>
              <w:rPr>
                <w:vertAlign w:val="subscript"/>
              </w:rPr>
              <w:t xml:space="preserve">XNK</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86-2014-tt-btc-cua-bo-tai-chinh---sua-doi--bo-sung-chuong-98-quy-dinh-ma-hang-hoa-va-muc-thue-suat-thue-nhap-khau-uu-dai-rieng-doi-voi-mot-so-nhom-mat-hang-cua-bieu-thue-nhap-khau-uu-dai-.aspx" TargetMode="External" /><Relationship Id="rId4" Type="http://schemas.openxmlformats.org/officeDocument/2006/relationships/hyperlink" Target="/thong-tu-so-164-2013-tt-btc-cua-bo-tai-chinh---ban-hanh-bieu-thue-xuat-khau--bieu-thue-nhap-khau-uu-dai-theo-danh-muc-mat-hang-chiu-thue.aspx" TargetMode="External" /><Relationship Id="rId5" Type="http://schemas.openxmlformats.org/officeDocument/2006/relationships/hyperlink" Target="/nghi-dinh-so-87-2010-nd-cp-quy-dinh-chi-tiet-thi-hanh-luat-thue-xuat-nhap-khau.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2022-06-22T11:37:33Z</dcterms:created>
  <dcterms:modified xsi:type="dcterms:W3CDTF">2022-06-22T11:37:33Z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2022-06-22T11:37:33Z</dcterms:created>
  <dcterms:modified xsi:type="dcterms:W3CDTF">2022-06-22T11:37:33Z</dcterms:modified>
</cp:coreProperties>
</file>