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r>
              <w:rPr>
                <w:b/>
              </w:rPr>
              <w:br/>
            </w:r>
            <w:r>
              <w:rPr>
                <w:b/>
              </w:rPr>
              <w:t xml:space="preserve">-------</w:t>
            </w:r>
          </w:p>
          <w:p>
            <w:pPr>
              <w:pStyle w:val="Normal(Web)"/>
              <w:divId w:val="2"/>
              <w:jc w:val="center"/>
              <w:rPr>
                <w:vanish w:val="0"/>
              </w:rPr>
            </w:pPr>
            <w:r>
              <w:t xml:space="preserve">Số: </w:t>
            </w:r>
            <w:hyperlink r:id="rId3" w:history="1">
              <w:r>
                <w:rPr>
                  <w:rStyle w:val="Hyperlink"/>
                </w:rPr>
                <w:t xml:space="preserve">61/2015/TT-BTC </w:t>
              </w:r>
            </w:hyperlink>
            <w:r>
              <w:t xml:space="preserve"> </w:t>
            </w:r>
          </w:p>
        </w:tc>
        <w:tc>
          <w:tcPr>
            <w:tcW w:w="0" w:type="auto"/>
            <w:shd w:val="clear" w:color="auto" w:fill="auto"/>
            <w:vAlign w:val="center"/>
          </w:tcPr>
          <w:p>
            <w:pPr>
              <w:pStyle w:val="Normal(Web)"/>
              <w:divId w:val="3"/>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divId w:val="4"/>
              <w:jc w:val="right"/>
              <w:rPr>
                <w:vanish w:val="0"/>
              </w:rPr>
            </w:pPr>
            <w:r>
              <w:rPr>
                <w:i/>
              </w:rPr>
              <w:t xml:space="preserve">Hà Nội, ngày 27 tháng 04 năm 2015</w:t>
            </w:r>
          </w:p>
        </w:tc>
      </w:tr>
    </w:tbl>
    <w:p>
      <w:pPr>
        <w:pStyle w:val="Normal(Web)"/>
        <w:divId w:val="5"/>
        <w:jc w:val="center"/>
        <w:rPr>
          <w:vanish w:val="0"/>
        </w:rPr>
      </w:pPr>
      <w:r>
        <w:rPr>
          <w:b/>
        </w:rPr>
        <w:t xml:space="preserve">THÔNG TƯ</w:t>
      </w:r>
    </w:p>
    <w:p>
      <w:pPr>
        <w:pStyle w:val="Normal(Web)"/>
        <w:divId w:val="6"/>
        <w:jc w:val="center"/>
        <w:rPr>
          <w:vanish w:val="0"/>
        </w:rPr>
      </w:pPr>
      <w:r>
        <w:rPr>
          <w:b/>
        </w:rPr>
        <w:t xml:space="preserve">SỬA ĐỔI MỨC THUẾ SUẤT THUẾ NHẬP KHẨU ƯU ĐÃI ĐỐI VỚI MỘT SỐ MẶT HÀNG XĂNG, DẦU THUỘC NHÓM 27.10 TẠI BIỂU THUẾ NHẬP KHẨU ƯU ĐÃI</w:t>
      </w:r>
    </w:p>
    <w:p>
      <w:pPr>
        <w:pStyle w:val="Normal(Web)"/>
        <w:divId w:val="7"/>
        <w:rPr>
          <w:vanish w:val="0"/>
        </w:rPr>
      </w:pPr>
      <w:r>
        <w:rPr>
          <w:i/>
        </w:rPr>
        <w:t xml:space="preserve">Căn cứ Luật Thuế xuất khẩu, Thuế nhập khẩu ngày </w:t>
      </w:r>
      <w:r>
        <w:rPr>
          <w:i/>
        </w:rPr>
        <w:t xml:space="preserve">1</w:t>
      </w:r>
      <w:r>
        <w:rPr>
          <w:i/>
        </w:rPr>
        <w:t xml:space="preserve">4/6/2005;</w:t>
      </w:r>
    </w:p>
    <w:p>
      <w:pPr>
        <w:pStyle w:val="Normal(Web)"/>
        <w:divId w:val="8"/>
        <w:rPr>
          <w:vanish w:val="0"/>
        </w:rPr>
      </w:pPr>
      <w:r>
        <w:rPr>
          <w:i/>
        </w:rPr>
        <w:t xml:space="preserve">Căn cứ </w:t>
      </w:r>
      <w:r>
        <w:rPr>
          <w:i/>
        </w:rPr>
        <w:t xml:space="preserve">Nghị quyết số</w:t>
      </w:r>
      <w:r>
        <w:rPr>
          <w:i/>
        </w:rPr>
        <w:t xml:space="preserve"> 295/2007/NQ-UBTVQH </w:t>
      </w:r>
      <w:r>
        <w:rPr>
          <w:i/>
        </w:rPr>
        <w:t xml:space="preserve">1</w:t>
      </w:r>
      <w:r>
        <w:rPr>
          <w:i/>
        </w:rPr>
        <w:t xml:space="preserve">2 ngày 28/9/2007 của </w:t>
      </w:r>
      <w:r>
        <w:rPr>
          <w:i/>
        </w:rPr>
        <w:t xml:space="preserve">Ủy ban</w:t>
      </w:r>
      <w:r>
        <w:rPr>
          <w:i/>
        </w:rPr>
        <w:t xml:space="preserve"> Thường vụ </w:t>
      </w:r>
      <w:r>
        <w:rPr>
          <w:i/>
        </w:rPr>
        <w:t xml:space="preserve">Quốc</w:t>
      </w:r>
      <w:r>
        <w:rPr>
          <w:i/>
        </w:rPr>
        <w:t xml:space="preserve"> hội về việc ban hành Bi</w:t>
      </w:r>
      <w:r>
        <w:rPr>
          <w:i/>
        </w:rPr>
        <w:t xml:space="preserve">ể</w:t>
      </w:r>
      <w:r>
        <w:rPr>
          <w:i/>
        </w:rPr>
        <w:t xml:space="preserve">u thuế </w:t>
      </w:r>
      <w:r>
        <w:rPr>
          <w:i/>
        </w:rPr>
        <w:t xml:space="preserve">xuất khẩu</w:t>
      </w:r>
      <w:r>
        <w:rPr>
          <w:i/>
        </w:rPr>
        <w:t xml:space="preserve"> theo danh mục nhóm hàng chịu thu</w:t>
      </w:r>
      <w:r>
        <w:rPr>
          <w:i/>
        </w:rPr>
        <w:t xml:space="preserve">ế</w:t>
      </w:r>
      <w:r>
        <w:rPr>
          <w:i/>
        </w:rPr>
        <w:t xml:space="preserve"> và khung thu</w:t>
      </w:r>
      <w:r>
        <w:rPr>
          <w:i/>
        </w:rPr>
        <w:t xml:space="preserve">ế suất </w:t>
      </w:r>
      <w:r>
        <w:rPr>
          <w:i/>
        </w:rPr>
        <w:t xml:space="preserve">đối với</w:t>
      </w:r>
      <w:r>
        <w:rPr>
          <w:i/>
        </w:rPr>
        <w:t xml:space="preserve">từng</w:t>
      </w:r>
      <w:r>
        <w:rPr>
          <w:i/>
        </w:rPr>
        <w:t xml:space="preserve"> nhóm hàng, Bi</w:t>
      </w:r>
      <w:r>
        <w:rPr>
          <w:i/>
        </w:rPr>
        <w:t xml:space="preserve">ể</w:t>
      </w:r>
      <w:r>
        <w:rPr>
          <w:i/>
        </w:rPr>
        <w:t xml:space="preserve">u thu</w:t>
      </w:r>
      <w:r>
        <w:rPr>
          <w:i/>
        </w:rPr>
        <w:t xml:space="preserve">ế nhập khẩu ưu đãi </w:t>
      </w:r>
      <w:r>
        <w:rPr>
          <w:i/>
        </w:rPr>
        <w:t xml:space="preserve">theo danh mục nhóm hàng chịu thu</w:t>
      </w:r>
      <w:r>
        <w:rPr>
          <w:i/>
        </w:rPr>
        <w:t xml:space="preserve">ế</w:t>
      </w:r>
      <w:r>
        <w:rPr>
          <w:i/>
        </w:rPr>
        <w:t xml:space="preserve"> và </w:t>
      </w:r>
      <w:r>
        <w:rPr>
          <w:i/>
        </w:rPr>
        <w:t xml:space="preserve">khung thuế suất ưu đãi </w:t>
      </w:r>
      <w:r>
        <w:rPr>
          <w:i/>
        </w:rPr>
        <w:t xml:space="preserve">đối với</w:t>
      </w:r>
      <w:r>
        <w:rPr>
          <w:i/>
        </w:rPr>
        <w:t xml:space="preserve">từng</w:t>
      </w:r>
      <w:r>
        <w:rPr>
          <w:i/>
        </w:rPr>
        <w:t xml:space="preserve"> nhóm hàng;</w:t>
      </w:r>
    </w:p>
    <w:p>
      <w:pPr>
        <w:pStyle w:val="Normal(Web)"/>
        <w:divId w:val="9"/>
        <w:rPr>
          <w:vanish w:val="0"/>
        </w:rPr>
      </w:pPr>
      <w:r>
        <w:rPr>
          <w:i/>
        </w:rPr>
        <w:t xml:space="preserve">Căn cứ</w:t>
      </w:r>
      <w:r>
        <w:rPr>
          <w:i/>
        </w:rPr>
        <w:t xml:space="preserve"> Nghị định số 87/20</w:t>
      </w:r>
      <w:r>
        <w:rPr>
          <w:i/>
        </w:rPr>
        <w:t xml:space="preserve">1</w:t>
      </w:r>
      <w:r>
        <w:rPr>
          <w:i/>
        </w:rPr>
        <w:t xml:space="preserve">0/NĐ-CP ngày </w:t>
      </w:r>
      <w:r>
        <w:rPr>
          <w:i/>
        </w:rPr>
        <w:t xml:space="preserve">1</w:t>
      </w:r>
      <w:r>
        <w:rPr>
          <w:i/>
        </w:rPr>
        <w:t xml:space="preserve">3/8/20</w:t>
      </w:r>
      <w:r>
        <w:rPr>
          <w:i/>
        </w:rPr>
        <w:t xml:space="preserve">1</w:t>
      </w:r>
      <w:r>
        <w:rPr>
          <w:i/>
        </w:rPr>
        <w:t xml:space="preserve">0 </w:t>
      </w:r>
      <w:r>
        <w:rPr>
          <w:i/>
        </w:rPr>
        <w:t xml:space="preserve">của</w:t>
      </w:r>
      <w:r>
        <w:rPr>
          <w:i/>
        </w:rPr>
        <w:t xml:space="preserve"> Chính phủ quy định chi </w:t>
      </w:r>
      <w:r>
        <w:rPr>
          <w:i/>
        </w:rPr>
        <w:t xml:space="preserve">tiết </w:t>
      </w:r>
      <w:r>
        <w:rPr>
          <w:i/>
        </w:rPr>
        <w:t xml:space="preserve">thi hành một số điều của Luật Thuế xuất khẩu, Thuế </w:t>
      </w:r>
      <w:r>
        <w:rPr>
          <w:i/>
        </w:rPr>
        <w:t xml:space="preserve">nhập khẩu</w:t>
      </w:r>
      <w:r>
        <w:rPr>
          <w:i/>
        </w:rPr>
        <w:t xml:space="preserve">;</w:t>
      </w:r>
    </w:p>
    <w:p>
      <w:pPr>
        <w:pStyle w:val="Normal(Web)"/>
        <w:divId w:val="10"/>
        <w:rPr>
          <w:vanish w:val="0"/>
        </w:rPr>
      </w:pPr>
      <w:r>
        <w:rPr>
          <w:i/>
        </w:rPr>
        <w:t xml:space="preserve">Căn cứ Nghị định s</w:t>
      </w:r>
      <w:r>
        <w:rPr>
          <w:i/>
        </w:rPr>
        <w:t xml:space="preserve">ố</w:t>
      </w:r>
      <w:hyperlink r:id="rId4" w:history="1">
        <w:r>
          <w:rPr>
            <w:rStyle w:val="Hyperlink"/>
            <w:i/>
          </w:rPr>
          <w:t xml:space="preserve">83/2014/NĐ-CP </w:t>
        </w:r>
      </w:hyperlink>
      <w:r>
        <w:rPr>
          <w:i/>
        </w:rPr>
        <w:t xml:space="preserve"> ngày 03/9/20</w:t>
      </w:r>
      <w:r>
        <w:rPr>
          <w:i/>
        </w:rPr>
        <w:t xml:space="preserve">1</w:t>
      </w:r>
      <w:r>
        <w:rPr>
          <w:i/>
        </w:rPr>
        <w:t xml:space="preserve">4 của Chính phủ về kinh doanh xăng d</w:t>
      </w:r>
      <w:r>
        <w:rPr>
          <w:i/>
        </w:rPr>
        <w:t xml:space="preserve">ầ</w:t>
      </w:r>
      <w:r>
        <w:rPr>
          <w:i/>
        </w:rPr>
        <w:t xml:space="preserve">u;</w:t>
      </w:r>
    </w:p>
    <w:p>
      <w:pPr>
        <w:pStyle w:val="Normal(Web)"/>
        <w:divId w:val="11"/>
        <w:rPr>
          <w:vanish w:val="0"/>
        </w:rPr>
      </w:pPr>
      <w:r>
        <w:rPr>
          <w:i/>
        </w:rPr>
        <w:t xml:space="preserve">Căn cứ Nghị định số 2</w:t>
      </w:r>
      <w:r>
        <w:rPr>
          <w:i/>
        </w:rPr>
        <w:t xml:space="preserve">1</w:t>
      </w:r>
      <w:r>
        <w:rPr>
          <w:i/>
        </w:rPr>
        <w:t xml:space="preserve">5/20</w:t>
      </w:r>
      <w:r>
        <w:rPr>
          <w:i/>
        </w:rPr>
        <w:t xml:space="preserve">1</w:t>
      </w:r>
      <w:r>
        <w:rPr>
          <w:i/>
        </w:rPr>
        <w:t xml:space="preserve">3/NĐ-CP ngày 23/</w:t>
      </w:r>
      <w:r>
        <w:rPr>
          <w:i/>
        </w:rPr>
        <w:t xml:space="preserve">1</w:t>
      </w:r>
      <w:r>
        <w:rPr>
          <w:i/>
        </w:rPr>
        <w:t xml:space="preserve">2/2013 </w:t>
      </w:r>
      <w:r>
        <w:rPr>
          <w:i/>
        </w:rPr>
        <w:t xml:space="preserve">của </w:t>
      </w:r>
      <w:r>
        <w:rPr>
          <w:i/>
        </w:rPr>
        <w:t xml:space="preserve">Chính phủ quy định chức năng, nhiệm vụ, quy</w:t>
      </w:r>
      <w:r>
        <w:rPr>
          <w:i/>
        </w:rPr>
        <w:t xml:space="preserve">ề</w:t>
      </w:r>
      <w:r>
        <w:rPr>
          <w:i/>
        </w:rPr>
        <w:t xml:space="preserve">n hạn và </w:t>
      </w:r>
      <w:r>
        <w:rPr>
          <w:i/>
        </w:rPr>
        <w:t xml:space="preserve">cơ cấu</w:t>
      </w:r>
      <w:r>
        <w:rPr>
          <w:i/>
        </w:rPr>
        <w:t xml:space="preserve">tổ chức</w:t>
      </w:r>
      <w:r>
        <w:rPr>
          <w:i/>
        </w:rPr>
        <w:t xml:space="preserve"> của Bộ Tài chính;</w:t>
      </w:r>
    </w:p>
    <w:p>
      <w:pPr>
        <w:pStyle w:val="Normal(Web)"/>
        <w:divId w:val="12"/>
        <w:rPr>
          <w:vanish w:val="0"/>
        </w:rPr>
      </w:pPr>
      <w:r>
        <w:rPr>
          <w:i/>
        </w:rPr>
        <w:t xml:space="preserve">Căn cứ Quyết định số 53/20</w:t>
      </w:r>
      <w:r>
        <w:rPr>
          <w:i/>
        </w:rPr>
        <w:t xml:space="preserve">1</w:t>
      </w:r>
      <w:r>
        <w:rPr>
          <w:i/>
        </w:rPr>
        <w:t xml:space="preserve">2/</w:t>
      </w:r>
      <w:r>
        <w:rPr>
          <w:i/>
        </w:rPr>
        <w:t xml:space="preserve">Q</w:t>
      </w:r>
      <w:r>
        <w:rPr>
          <w:i/>
        </w:rPr>
        <w:t xml:space="preserve">Đ-TTg ngày 22/1</w:t>
      </w:r>
      <w:r>
        <w:rPr>
          <w:i/>
        </w:rPr>
        <w:t xml:space="preserve">1</w:t>
      </w:r>
      <w:r>
        <w:rPr>
          <w:i/>
        </w:rPr>
        <w:t xml:space="preserve">/20</w:t>
      </w:r>
      <w:r>
        <w:rPr>
          <w:i/>
        </w:rPr>
        <w:t xml:space="preserve">1</w:t>
      </w:r>
      <w:r>
        <w:rPr>
          <w:i/>
        </w:rPr>
        <w:t xml:space="preserve">2 của Thủ </w:t>
      </w:r>
      <w:r>
        <w:rPr>
          <w:i/>
        </w:rPr>
        <w:t xml:space="preserve">t</w:t>
      </w:r>
      <w:r>
        <w:rPr>
          <w:i/>
        </w:rPr>
        <w:t xml:space="preserve">ướ</w:t>
      </w:r>
      <w:r>
        <w:rPr>
          <w:i/>
        </w:rPr>
        <w:t xml:space="preserve">ng </w:t>
      </w:r>
      <w:r>
        <w:rPr>
          <w:i/>
        </w:rPr>
        <w:t xml:space="preserve">Chính phủ</w:t>
      </w:r>
      <w:r>
        <w:rPr>
          <w:i/>
        </w:rPr>
        <w:t xml:space="preserve">về</w:t>
      </w:r>
      <w:r>
        <w:rPr>
          <w:i/>
        </w:rPr>
        <w:t xml:space="preserve"> việc ban hành lộ trình áp dụng tỷ </w:t>
      </w:r>
      <w:r>
        <w:rPr>
          <w:i/>
        </w:rPr>
        <w:t xml:space="preserve">l</w:t>
      </w:r>
      <w:r>
        <w:rPr>
          <w:i/>
        </w:rPr>
        <w:t xml:space="preserve">ệ ph</w:t>
      </w:r>
      <w:r>
        <w:rPr>
          <w:i/>
        </w:rPr>
        <w:t xml:space="preserve">ố</w:t>
      </w:r>
      <w:r>
        <w:rPr>
          <w:i/>
        </w:rPr>
        <w:t xml:space="preserve">i trộn nhiên </w:t>
      </w:r>
      <w:r>
        <w:rPr>
          <w:i/>
        </w:rPr>
        <w:t xml:space="preserve">liệu sinh </w:t>
      </w:r>
      <w:r>
        <w:rPr>
          <w:i/>
        </w:rPr>
        <w:t xml:space="preserve">học với nhiên liệu truyền </w:t>
      </w:r>
      <w:r>
        <w:rPr>
          <w:i/>
        </w:rPr>
        <w:t xml:space="preserve">thống</w:t>
      </w:r>
      <w:r>
        <w:rPr>
          <w:i/>
        </w:rPr>
        <w:t xml:space="preserve">;</w:t>
      </w:r>
    </w:p>
    <w:p>
      <w:pPr>
        <w:pStyle w:val="Normal(Web)"/>
        <w:divId w:val="13"/>
        <w:rPr>
          <w:vanish w:val="0"/>
        </w:rPr>
      </w:pPr>
      <w:r>
        <w:rPr>
          <w:i/>
        </w:rPr>
        <w:t xml:space="preserve">Theo đ</w:t>
      </w:r>
      <w:r>
        <w:rPr>
          <w:i/>
        </w:rPr>
        <w:t xml:space="preserve">ề </w:t>
      </w:r>
      <w:r>
        <w:rPr>
          <w:i/>
        </w:rPr>
        <w:t xml:space="preserve">nghị của Vụ tr</w:t>
      </w:r>
      <w:r>
        <w:rPr>
          <w:i/>
        </w:rPr>
        <w:t xml:space="preserve">ưở</w:t>
      </w:r>
      <w:r>
        <w:rPr>
          <w:i/>
        </w:rPr>
        <w:t xml:space="preserve">ng Vụ Chính sách Thuế,</w:t>
      </w:r>
    </w:p>
    <w:p>
      <w:pPr>
        <w:pStyle w:val="Normal(Web)"/>
        <w:divId w:val="14"/>
        <w:rPr>
          <w:vanish w:val="0"/>
        </w:rPr>
      </w:pPr>
      <w:r>
        <w:rPr>
          <w:i/>
        </w:rPr>
        <w:t xml:space="preserve">Bộ trưởng Bộ Tài chính ban hành Thông tư sửa đ</w:t>
      </w:r>
      <w:r>
        <w:rPr>
          <w:i/>
        </w:rPr>
        <w:t xml:space="preserve">ổ</w:t>
      </w:r>
      <w:r>
        <w:rPr>
          <w:i/>
        </w:rPr>
        <w:t xml:space="preserve">i mức thuế suất thuế </w:t>
      </w:r>
      <w:r>
        <w:rPr>
          <w:i/>
        </w:rPr>
        <w:t xml:space="preserve">nhập khẩu</w:t>
      </w:r>
      <w:r>
        <w:rPr>
          <w:i/>
        </w:rPr>
        <w:t xml:space="preserve">ưu</w:t>
      </w:r>
      <w:r>
        <w:rPr>
          <w:i/>
        </w:rPr>
        <w:t xml:space="preserve"> đãi </w:t>
      </w:r>
      <w:r>
        <w:rPr>
          <w:i/>
        </w:rPr>
        <w:t xml:space="preserve">đối với</w:t>
      </w:r>
      <w:r>
        <w:rPr>
          <w:i/>
        </w:rPr>
        <w:t xml:space="preserve"> một s</w:t>
      </w:r>
      <w:r>
        <w:rPr>
          <w:i/>
        </w:rPr>
        <w:t xml:space="preserve">ố </w:t>
      </w:r>
      <w:r>
        <w:rPr>
          <w:i/>
        </w:rPr>
        <w:t xml:space="preserve">mặt hàng xăng, dầu thuộc nhóm 27.</w:t>
      </w:r>
      <w:r>
        <w:rPr>
          <w:i/>
        </w:rPr>
        <w:t xml:space="preserve">10 </w:t>
      </w:r>
      <w:r>
        <w:rPr>
          <w:i/>
        </w:rPr>
        <w:t xml:space="preserve">tại Bi</w:t>
      </w:r>
      <w:r>
        <w:rPr>
          <w:i/>
        </w:rPr>
        <w:t xml:space="preserve">ể</w:t>
      </w:r>
      <w:r>
        <w:rPr>
          <w:i/>
        </w:rPr>
        <w:t xml:space="preserve">u thuế </w:t>
      </w:r>
      <w:r>
        <w:rPr>
          <w:i/>
        </w:rPr>
        <w:t xml:space="preserve">nhập khẩu</w:t>
      </w:r>
      <w:r>
        <w:rPr>
          <w:i/>
        </w:rPr>
        <w:t xml:space="preserve">ưu</w:t>
      </w:r>
      <w:r>
        <w:rPr>
          <w:i/>
        </w:rPr>
        <w:t xml:space="preserve"> đãi.</w:t>
      </w:r>
    </w:p>
    <w:p>
      <w:pPr>
        <w:pStyle w:val="Normal(Web)"/>
        <w:divId w:val="15"/>
        <w:rPr>
          <w:vanish w:val="0"/>
        </w:rPr>
      </w:pPr>
      <w:r>
        <w:rPr>
          <w:b/>
        </w:rPr>
        <w:t xml:space="preserve">Điều 1. Sửa đổi mức thuế suất thuế nhập khẩu </w:t>
      </w:r>
      <w:r>
        <w:rPr>
          <w:b/>
        </w:rPr>
        <w:t xml:space="preserve">ưu</w:t>
      </w:r>
      <w:r>
        <w:rPr>
          <w:b/>
        </w:rPr>
        <w:t xml:space="preserve"> đã</w:t>
      </w:r>
      <w:r>
        <w:rPr>
          <w:b/>
        </w:rPr>
        <w:t xml:space="preserve">i </w:t>
      </w:r>
      <w:r>
        <w:rPr>
          <w:b/>
        </w:rPr>
        <w:t xml:space="preserve">đối </w:t>
      </w:r>
      <w:r>
        <w:rPr>
          <w:b/>
        </w:rPr>
        <w:t xml:space="preserve">với</w:t>
      </w:r>
      <w:r>
        <w:rPr>
          <w:b/>
        </w:rPr>
        <w:t xml:space="preserve"> một số mặt hàng xăng, dầu thuộc nhóm 27.10</w:t>
      </w:r>
    </w:p>
    <w:p>
      <w:pPr>
        <w:pStyle w:val="Normal(Web)"/>
        <w:divId w:val="16"/>
        <w:rPr>
          <w:vanish w:val="0"/>
        </w:rPr>
      </w:pPr>
      <w:r>
        <w:t xml:space="preserve">1. Sửa đổi mức thuế suất thuế nhập khẩu ưu đãi đối với một số mặt hàng, xăng, dầu thuộc nhóm 27.10 tại Biểu thuế nhập khẩu ưu đãi kèm theo Thông tư số 48/2015/TT-BTC ngày 13/4/2015 của Bộ tr</w:t>
      </w:r>
      <w:r>
        <w:t xml:space="preserve">ưở</w:t>
      </w:r>
      <w:r>
        <w:t xml:space="preserve">ng Bộ Tài chính thành mức thuế suất thuế nhập khẩu ưu đãi mới quy định tại Danh mục thuế suất thuế nhập khẩu ưu đãi ban hành kèm theo Thông tư này.</w:t>
      </w:r>
    </w:p>
    <w:p>
      <w:pPr>
        <w:pStyle w:val="Normal(Web)"/>
        <w:divId w:val="17"/>
        <w:rPr>
          <w:vanish w:val="0"/>
        </w:rPr>
      </w:pPr>
      <w:r>
        <w:t xml:space="preserve">2. Sửa đổi mức thuế suất thuế nhập khẩu ưu đãi đối với mặt hàng dầu diezel sinh học tại Chương 98 thuộc Biểu thuế nhập khẩu ưu đãi ban hành kèm theo Thông tư số 48/2015/TT-BTC ngày 13/4/2015 của Bộ trưởng Bộ Tài chính thành mức thuế suất mới</w:t>
      </w:r>
      <w:r>
        <w:t xml:space="preserve">quy định</w:t>
      </w:r>
      <w:r>
        <w:t xml:space="preserve"> tại Danh mục thuế suất thuế nhập khẩu ưu đãi ban hành kèm theo Thông tư này.</w:t>
      </w:r>
    </w:p>
    <w:p>
      <w:pPr>
        <w:pStyle w:val="Normal(Web)"/>
        <w:divId w:val="18"/>
        <w:rPr>
          <w:vanish w:val="0"/>
        </w:rPr>
      </w:pPr>
      <w:r>
        <w:rPr>
          <w:b/>
        </w:rPr>
        <w:t xml:space="preserve">Điều 2</w:t>
      </w:r>
      <w:r>
        <w:rPr>
          <w:b/>
        </w:rPr>
        <w:t xml:space="preserve">. </w:t>
      </w:r>
      <w:r>
        <w:rPr>
          <w:b/>
        </w:rPr>
        <w:t xml:space="preserve">Hiệu </w:t>
      </w:r>
      <w:r>
        <w:rPr>
          <w:b/>
        </w:rPr>
        <w:t xml:space="preserve">l</w:t>
      </w:r>
      <w:r>
        <w:rPr>
          <w:b/>
        </w:rPr>
        <w:t xml:space="preserve">ực thi hành</w:t>
      </w:r>
    </w:p>
    <w:p>
      <w:pPr>
        <w:pStyle w:val="Normal(Web)"/>
        <w:divId w:val="19"/>
        <w:rPr>
          <w:vanish w:val="0"/>
        </w:rPr>
      </w:pPr>
      <w:r>
        <w:t xml:space="preserve">1. Thông tư này có hiệu lực thi hành kể từ ngày 4/5/2015.</w:t>
      </w:r>
    </w:p>
    <w:p>
      <w:pPr>
        <w:pStyle w:val="Normal(Web)"/>
        <w:divId w:val="20"/>
        <w:rPr>
          <w:vanish w:val="0"/>
        </w:rPr>
      </w:pPr>
      <w:r>
        <w:t xml:space="preserve">2. Thông tư này thay thế Thông tư số </w:t>
      </w:r>
      <w:hyperlink r:id="rId5" w:history="1">
        <w:r>
          <w:rPr>
            <w:rStyle w:val="Hyperlink"/>
          </w:rPr>
          <w:t xml:space="preserve">48/2015/TT-BTC </w:t>
        </w:r>
      </w:hyperlink>
      <w:r>
        <w:t xml:space="preserve"> ngày 13/4/2015 của Bộ trưởng Bộ Tài chính sửa đổi mức thuế suất thuế nhập khẩu ưu đãi đối với một số mặt hàng xăng, dầu thuộc nhóm 27.10 tại Biểu thuế nhập khẩu ưu đãi.</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21"/>
              <w:rPr>
                <w:vanish w:val="0"/>
              </w:rPr>
            </w:pPr>
            <w:r>
              <w:rPr>
                <w:b/>
                <w:i/>
              </w:rPr>
              <w:t xml:space="preserve">Nơi nhận:</w:t>
            </w:r>
            <w:r>
              <w:rPr>
                <w:b/>
                <w:i/>
              </w:rPr>
              <w:br/>
            </w:r>
            <w:r>
              <w:t xml:space="preserve">- Thủ tướng và các Phó Thủ tướng Chính phủ;</w:t>
            </w:r>
            <w:r>
              <w:rPr/>
              <w:br/>
            </w:r>
            <w:r>
              <w:t xml:space="preserve">- Văn phòng TW và các Ban của Đảng;</w:t>
            </w:r>
            <w:r>
              <w:rPr/>
              <w:br/>
            </w:r>
            <w:r>
              <w:t xml:space="preserve">- Văn phòng Quốc hội;</w:t>
            </w:r>
            <w:r>
              <w:rPr/>
              <w:br/>
            </w:r>
            <w:r>
              <w:t xml:space="preserve">- Văn phòng Tổng Bí thư;</w:t>
            </w:r>
            <w:r>
              <w:rPr/>
              <w:br/>
            </w:r>
            <w:r>
              <w:t xml:space="preserve">- Văn phòng Chủ tịch nước;</w:t>
            </w:r>
            <w:r>
              <w:rPr/>
              <w:br/>
            </w:r>
            <w:r>
              <w:t xml:space="preserve">- Viện kiểm sát NDTC, Tòa án NDTC;</w:t>
            </w:r>
            <w:r>
              <w:rPr/>
              <w:br/>
            </w:r>
            <w:r>
              <w:t xml:space="preserve">- Kiểm toán Nhà nước;</w:t>
            </w:r>
            <w:r>
              <w:rPr/>
              <w:br/>
            </w:r>
            <w:r>
              <w:t xml:space="preserve">- Các Bộ, cơ quan ngang Bộ, cơ quan thuộc CP;</w:t>
            </w:r>
            <w:r>
              <w:rPr/>
              <w:br/>
            </w:r>
            <w:r>
              <w:t xml:space="preserve">- UBND tỉnh, thành phố trực thuộc TW;</w:t>
            </w:r>
            <w:r>
              <w:rPr/>
              <w:br/>
            </w:r>
            <w:r>
              <w:t xml:space="preserve">- VP BCĐ TƯ về phòng, chống tham nhũng;</w:t>
            </w:r>
            <w:r>
              <w:rPr/>
              <w:br/>
            </w:r>
            <w:r>
              <w:t xml:space="preserve">- Phòng Thương mại và công nghiệp Việt Nam;</w:t>
            </w:r>
            <w:r>
              <w:rPr/>
              <w:br/>
            </w:r>
            <w:r>
              <w:t xml:space="preserve">- Cục Kiểm tra </w:t>
            </w:r>
            <w:r>
              <w:t xml:space="preserve">văn</w:t>
            </w:r>
            <w:r>
              <w:t xml:space="preserve"> bản (Bộ Tư pháp);</w:t>
            </w:r>
            <w:r>
              <w:rPr/>
              <w:br/>
            </w:r>
            <w:r>
              <w:t xml:space="preserve">- Các đơn vị thuộc và trực thuộc Bộ Tài chính;</w:t>
            </w:r>
            <w:r>
              <w:rPr/>
              <w:br/>
            </w:r>
            <w:r>
              <w:t xml:space="preserve">- Cục Hải quan tỉnh, thành phố;</w:t>
            </w:r>
            <w:r>
              <w:rPr/>
              <w:br/>
            </w:r>
            <w:r>
              <w:t xml:space="preserve">- Công báo;</w:t>
            </w:r>
            <w:r>
              <w:rPr/>
              <w:br/>
            </w:r>
            <w:r>
              <w:t xml:space="preserve">- Website Chính phủ và Website Bộ Tài chính; </w:t>
            </w:r>
            <w:r>
              <w:rPr/>
              <w:br/>
            </w:r>
            <w:r>
              <w:t xml:space="preserve">- Lưu: VT, Vụ CST (P</w:t>
            </w:r>
            <w:r>
              <w:rPr>
                <w:vertAlign w:val="subscript"/>
              </w:rPr>
              <w:t xml:space="preserve">XNK</w:t>
            </w:r>
            <w:r>
              <w:t xml:space="preserve">).</w:t>
            </w:r>
          </w:p>
        </w:tc>
        <w:tc>
          <w:tcPr>
            <w:tcW w:w="0" w:type="auto"/>
            <w:shd w:val="clear" w:color="auto" w:fill="auto"/>
            <w:vAlign w:val="center"/>
          </w:tcPr>
          <w:p>
            <w:pPr>
              <w:pStyle w:val="Normal(Web)"/>
              <w:divId w:val="22"/>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Vũ Thị Mai</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 w:id="8">
      <w:marLeft w:val="0"/>
      <w:marRight w:val="0"/>
      <w:marTop w:val="-20"/>
      <w:marBottom w:val="-20"/>
      <w:divBdr>
        <w:top w:val="none" w:sz="0" w:space="0" w:color="auto"/>
        <w:left w:val="none" w:sz="0" w:space="0" w:color="auto"/>
        <w:bottom w:val="none" w:sz="0" w:space="0" w:color="auto"/>
        <w:right w:val="none" w:sz="0" w:space="0" w:color="auto"/>
      </w:divBdr>
    </w:div>
    <w:div w:id="9">
      <w:marLeft w:val="0"/>
      <w:marRight w:val="0"/>
      <w:marTop w:val="-20"/>
      <w:marBottom w:val="-20"/>
      <w:divBdr>
        <w:top w:val="none" w:sz="0" w:space="0" w:color="auto"/>
        <w:left w:val="none" w:sz="0" w:space="0" w:color="auto"/>
        <w:bottom w:val="none" w:sz="0" w:space="0" w:color="auto"/>
        <w:right w:val="none" w:sz="0" w:space="0" w:color="auto"/>
      </w:divBdr>
    </w:div>
    <w:div w:id="10">
      <w:marLeft w:val="0"/>
      <w:marRight w:val="0"/>
      <w:marTop w:val="-20"/>
      <w:marBottom w:val="-20"/>
      <w:divBdr>
        <w:top w:val="none" w:sz="0" w:space="0" w:color="auto"/>
        <w:left w:val="none" w:sz="0" w:space="0" w:color="auto"/>
        <w:bottom w:val="none" w:sz="0" w:space="0" w:color="auto"/>
        <w:right w:val="none" w:sz="0" w:space="0" w:color="auto"/>
      </w:divBdr>
    </w:div>
    <w:div w:id="11">
      <w:marLeft w:val="0"/>
      <w:marRight w:val="0"/>
      <w:marTop w:val="-20"/>
      <w:marBottom w:val="-20"/>
      <w:divBdr>
        <w:top w:val="none" w:sz="0" w:space="0" w:color="auto"/>
        <w:left w:val="none" w:sz="0" w:space="0" w:color="auto"/>
        <w:bottom w:val="none" w:sz="0" w:space="0" w:color="auto"/>
        <w:right w:val="none" w:sz="0" w:space="0" w:color="auto"/>
      </w:divBdr>
    </w:div>
    <w:div w:id="12">
      <w:marLeft w:val="0"/>
      <w:marRight w:val="0"/>
      <w:marTop w:val="-20"/>
      <w:marBottom w:val="-20"/>
      <w:divBdr>
        <w:top w:val="none" w:sz="0" w:space="0" w:color="auto"/>
        <w:left w:val="none" w:sz="0" w:space="0" w:color="auto"/>
        <w:bottom w:val="none" w:sz="0" w:space="0" w:color="auto"/>
        <w:right w:val="none" w:sz="0" w:space="0" w:color="auto"/>
      </w:divBdr>
    </w:div>
    <w:div w:id="13">
      <w:marLeft w:val="0"/>
      <w:marRight w:val="0"/>
      <w:marTop w:val="-20"/>
      <w:marBottom w:val="-20"/>
      <w:divBdr>
        <w:top w:val="none" w:sz="0" w:space="0" w:color="auto"/>
        <w:left w:val="none" w:sz="0" w:space="0" w:color="auto"/>
        <w:bottom w:val="none" w:sz="0" w:space="0" w:color="auto"/>
        <w:right w:val="none" w:sz="0" w:space="0" w:color="auto"/>
      </w:divBdr>
    </w:div>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 w:id="16">
      <w:marLeft w:val="0"/>
      <w:marRight w:val="0"/>
      <w:marTop w:val="-20"/>
      <w:marBottom w:val="-20"/>
      <w:divBdr>
        <w:top w:val="none" w:sz="0" w:space="0" w:color="auto"/>
        <w:left w:val="none" w:sz="0" w:space="0" w:color="auto"/>
        <w:bottom w:val="none" w:sz="0" w:space="0" w:color="auto"/>
        <w:right w:val="none" w:sz="0" w:space="0" w:color="auto"/>
      </w:divBdr>
    </w:div>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
    <w:div w:id="19">
      <w:marLeft w:val="0"/>
      <w:marRight w:val="0"/>
      <w:marTop w:val="-20"/>
      <w:marBottom w:val="-20"/>
      <w:divBdr>
        <w:top w:val="none" w:sz="0" w:space="0" w:color="auto"/>
        <w:left w:val="none" w:sz="0" w:space="0" w:color="auto"/>
        <w:bottom w:val="none" w:sz="0" w:space="0" w:color="auto"/>
        <w:right w:val="none" w:sz="0" w:space="0" w:color="auto"/>
      </w:divBdr>
    </w:div>
    <w:div w:id="20">
      <w:marLeft w:val="0"/>
      <w:marRight w:val="0"/>
      <w:marTop w:val="-20"/>
      <w:marBottom w:val="-20"/>
      <w:divBdr>
        <w:top w:val="none" w:sz="0" w:space="0" w:color="auto"/>
        <w:left w:val="none" w:sz="0" w:space="0" w:color="auto"/>
        <w:bottom w:val="none" w:sz="0" w:space="0" w:color="auto"/>
        <w:right w:val="none" w:sz="0" w:space="0" w:color="auto"/>
      </w:divBdr>
    </w:div>
    <w:div w:id="21">
      <w:marLeft w:val="0"/>
      <w:marRight w:val="0"/>
      <w:marTop w:val="-20"/>
      <w:marBottom w:val="-20"/>
      <w:divBdr>
        <w:top w:val="none" w:sz="0" w:space="0" w:color="auto"/>
        <w:left w:val="none" w:sz="0" w:space="0" w:color="auto"/>
        <w:bottom w:val="none" w:sz="0" w:space="0" w:color="auto"/>
        <w:right w:val="none" w:sz="0" w:space="0" w:color="auto"/>
      </w:divBdr>
    </w:div>
    <w:div w:id="22">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61-2015-tt-btc.aspx" TargetMode="External" /><Relationship Id="rId4" Type="http://schemas.openxmlformats.org/officeDocument/2006/relationships/hyperlink" Target="/nghi-dinh-83-2014-nd-cp-kinh-doanh-xang-dau.aspx" TargetMode="External" /><Relationship Id="rId5" Type="http://schemas.openxmlformats.org/officeDocument/2006/relationships/hyperlink" Target="/thong-tu-48-2015-tt-btc-thue-suat-thue-nhap-khau-uu-dai-doi-voi-mat-hang-xang-dau-thuoc-nhom-27-10.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2022-06-22T10:49:14Z</dcterms:created>
  <dcterms:modified xsi:type="dcterms:W3CDTF">2022-06-22T10:49:14Z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2022-06-22T10:49:14Z</dcterms:created>
  <dcterms:modified xsi:type="dcterms:W3CDTF">2022-06-22T10:49:14Z</dcterms:modified>
</cp:coreProperties>
</file>